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7000"/>
        <w:gridCol w:w="3080"/>
      </w:tblGrid>
      <w:tr>
        <w:trPr>
          <w:trHeight w:val="700" w:hRule="atLeast"/>
        </w:trPr>
        <w:tc>
          <w:tcPr>
            <w:tcW w:type="dxa" w:w="7000"/>
            <w:tcBorders>
              <w:top w:val="none" w:sz="0"/>
              <w:left w:val="none" w:sz="0"/>
              <w:bottom w:val="none" w:sz="0"/>
              <w:right w:val="none" w:sz="0"/>
            </w:tcBorders>
            <w:shd w:fill="1B2A4A" w:val="clear"/>
            <w:tcMar>
              <w:top w:type="dxa" w:w="80"/>
              <w:left w:type="dxa" w:w="120"/>
              <w:bottom w:type="dxa" w:w="80"/>
              <w:right w:type="dxa" w:w="120"/>
            </w:tcMar>
            <w:vAlign w:val="center"/>
          </w:tcPr>
          <w:p>
            <w:pPr>
              <w:jc w:val="left"/>
            </w:pPr>
            <w:r>
              <w:rPr>
                <w:rFonts w:ascii="Calibri" w:cs="Calibri" w:eastAsia="Calibri" w:hAnsi="Calibri"/>
                <w:b/>
                <w:bCs/>
                <w:color w:val="FFFFFF"/>
                <w:sz w:val="32"/>
                <w:szCs w:val="32"/>
              </w:rPr>
              <w:t xml:space="preserve">FORBES SAFETY SOLUTIONS</w:t>
            </w:r>
          </w:p>
        </w:tc>
        <w:tc>
          <w:tcPr>
            <w:tcW w:type="dxa" w:w="3080"/>
            <w:tcBorders>
              <w:top w:val="none" w:sz="0"/>
              <w:left w:val="none" w:sz="0"/>
              <w:bottom w:val="none" w:sz="0"/>
              <w:right w:val="none" w:sz="0"/>
            </w:tcBorders>
            <w:shd w:fill="1B2A4A" w:val="clear"/>
            <w:tcMar>
              <w:top w:type="dxa" w:w="80"/>
              <w:left w:type="dxa" w:w="120"/>
              <w:bottom w:type="dxa" w:w="80"/>
              <w:right w:type="dxa" w:w="120"/>
            </w:tcMar>
            <w:vAlign w:val="center"/>
          </w:tcPr>
          <w:p>
            <w:pPr>
              <w:jc w:val="right"/>
            </w:pPr>
            <w:r>
              <w:rPr>
                <w:rFonts w:ascii="Calibri" w:cs="Calibri" w:eastAsia="Calibri" w:hAnsi="Calibri"/>
                <w:b/>
                <w:bCs/>
                <w:color w:val="E8A838"/>
                <w:sz w:val="20"/>
                <w:szCs w:val="20"/>
              </w:rPr>
              <w:t xml:space="preserve">JOB HAZARD ANALYSIS</w:t>
            </w:r>
          </w:p>
        </w:tc>
      </w:tr>
    </w:tbl>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rPr>
          <w:trHeight w:val="120" w:hRule="exact"/>
        </w:trPr>
        <w:tc>
          <w:tcPr>
            <w:tcW w:type="dxa" w:w="10080"/>
            <w:tcBorders>
              <w:top w:val="none" w:sz="0"/>
              <w:left w:val="none" w:sz="0"/>
              <w:bottom w:val="none" w:sz="0"/>
              <w:right w:val="none" w:sz="0"/>
            </w:tcBorders>
            <w:shd w:fill="E8A838" w:val="clear"/>
          </w:tcPr>
          <w:p/>
        </w:tc>
      </w:tr>
    </w:tbl>
    <w:p>
      <w:pPr>
        <w:spacing w:after="40" w:before="200"/>
      </w:pPr>
      <w:r>
        <w:rPr>
          <w:rFonts w:ascii="Calibri" w:cs="Calibri" w:eastAsia="Calibri" w:hAnsi="Calibri"/>
          <w:b/>
          <w:bCs/>
          <w:color w:val="1B2A4A"/>
          <w:sz w:val="28"/>
          <w:szCs w:val="28"/>
        </w:rPr>
        <w:t xml:space="preserve">DEMOLITION — JOB HAZARD ANALYSIS</w:t>
      </w:r>
    </w:p>
    <w:p>
      <w:pPr>
        <w:spacing w:after="60" w:before="0"/>
      </w:pPr>
      <w:r>
        <w:rPr>
          <w:rFonts w:ascii="Calibri" w:cs="Calibri" w:eastAsia="Calibri" w:hAnsi="Calibri"/>
          <w:i/>
          <w:iCs/>
          <w:color w:val="666666"/>
          <w:sz w:val="20"/>
          <w:szCs w:val="20"/>
        </w:rPr>
        <w:t xml:space="preserve">Reference: 29 CFR 1926 Subpart T — Demolition</w:t>
      </w:r>
    </w:p>
    <w:p>
      <w:pPr>
        <w:spacing w:after="120" w:before="80"/>
      </w:pPr>
    </w:p>
    <w:p>
      <w:pPr>
        <w:spacing w:after="120" w:before="300"/>
      </w:pPr>
      <w:r>
        <w:rPr>
          <w:rFonts w:ascii="Calibri" w:cs="Calibri" w:eastAsia="Calibri" w:hAnsi="Calibri"/>
          <w:b/>
          <w:bCs/>
          <w:color w:val="1B2A4A"/>
          <w:sz w:val="26"/>
          <w:szCs w:val="26"/>
        </w:rPr>
        <w:t xml:space="preserve">PROJECT INFORMATION</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400"/>
        <w:gridCol w:w="7680"/>
      </w:tblGrid>
      <w:tr>
        <w:tc>
          <w:tcPr>
            <w:tcW w:type="dxa" w:w="240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r>
              <w:rPr>
                <w:rFonts w:ascii="Calibri" w:cs="Calibri" w:eastAsia="Calibri" w:hAnsi="Calibri"/>
                <w:b/>
                <w:bCs/>
                <w:color w:val="FFFFFF"/>
                <w:sz w:val="20"/>
                <w:szCs w:val="20"/>
              </w:rPr>
              <w:t xml:space="preserve">Company Name:</w:t>
            </w:r>
          </w:p>
        </w:tc>
        <w:tc>
          <w:tcPr>
            <w:tcW w:type="dxa" w:w="7680"/>
            <w:tcBorders>
              <w:top w:val="single" w:color="999999" w:sz="1"/>
              <w:left w:val="single" w:color="999999" w:sz="1"/>
              <w:bottom w:val="single" w:color="999999" w:sz="1"/>
              <w:right w:val="single" w:color="999999" w:sz="1"/>
            </w:tcBorders>
            <w:tcMar>
              <w:top w:type="dxa" w:w="50"/>
              <w:left w:type="dxa" w:w="100"/>
              <w:bottom w:type="dxa" w:w="50"/>
              <w:right w:type="dxa" w:w="100"/>
            </w:tcMar>
            <w:vAlign w:val="center"/>
          </w:tcPr>
          <w:p>
            <w:r>
              <w:rPr>
                <w:rFonts w:ascii="Calibri" w:cs="Calibri" w:eastAsia="Calibri" w:hAnsi="Calibri"/>
                <w:i/>
                <w:iCs/>
                <w:color w:val="666666"/>
                <w:sz w:val="20"/>
                <w:szCs w:val="20"/>
              </w:rPr>
              <w:t xml:space="preserve">[Enter Company Name]</w:t>
            </w:r>
          </w:p>
        </w:tc>
      </w:tr>
      <w:tr>
        <w:tc>
          <w:tcPr>
            <w:tcW w:type="dxa" w:w="240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r>
              <w:rPr>
                <w:rFonts w:ascii="Calibri" w:cs="Calibri" w:eastAsia="Calibri" w:hAnsi="Calibri"/>
                <w:b/>
                <w:bCs/>
                <w:color w:val="FFFFFF"/>
                <w:sz w:val="20"/>
                <w:szCs w:val="20"/>
              </w:rPr>
              <w:t xml:space="preserve">Project Name:</w:t>
            </w:r>
          </w:p>
        </w:tc>
        <w:tc>
          <w:tcPr>
            <w:tcW w:type="dxa" w:w="7680"/>
            <w:tcBorders>
              <w:top w:val="single" w:color="999999" w:sz="1"/>
              <w:left w:val="single" w:color="999999" w:sz="1"/>
              <w:bottom w:val="single" w:color="999999" w:sz="1"/>
              <w:right w:val="single" w:color="999999" w:sz="1"/>
            </w:tcBorders>
            <w:tcMar>
              <w:top w:type="dxa" w:w="50"/>
              <w:left w:type="dxa" w:w="100"/>
              <w:bottom w:type="dxa" w:w="50"/>
              <w:right w:type="dxa" w:w="100"/>
            </w:tcMar>
            <w:vAlign w:val="center"/>
          </w:tcPr>
          <w:p>
            <w:r>
              <w:rPr>
                <w:rFonts w:ascii="Calibri" w:cs="Calibri" w:eastAsia="Calibri" w:hAnsi="Calibri"/>
                <w:i/>
                <w:iCs/>
                <w:color w:val="666666"/>
                <w:sz w:val="20"/>
                <w:szCs w:val="20"/>
              </w:rPr>
              <w:t xml:space="preserve">[Enter Project Name]</w:t>
            </w:r>
          </w:p>
        </w:tc>
      </w:tr>
      <w:tr>
        <w:tc>
          <w:tcPr>
            <w:tcW w:type="dxa" w:w="240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r>
              <w:rPr>
                <w:rFonts w:ascii="Calibri" w:cs="Calibri" w:eastAsia="Calibri" w:hAnsi="Calibri"/>
                <w:b/>
                <w:bCs/>
                <w:color w:val="FFFFFF"/>
                <w:sz w:val="20"/>
                <w:szCs w:val="20"/>
              </w:rPr>
              <w:t xml:space="preserve">Date:</w:t>
            </w:r>
          </w:p>
        </w:tc>
        <w:tc>
          <w:tcPr>
            <w:tcW w:type="dxa" w:w="7680"/>
            <w:tcBorders>
              <w:top w:val="single" w:color="999999" w:sz="1"/>
              <w:left w:val="single" w:color="999999" w:sz="1"/>
              <w:bottom w:val="single" w:color="999999" w:sz="1"/>
              <w:right w:val="single" w:color="999999" w:sz="1"/>
            </w:tcBorders>
            <w:tcMar>
              <w:top w:type="dxa" w:w="50"/>
              <w:left w:type="dxa" w:w="100"/>
              <w:bottom w:type="dxa" w:w="50"/>
              <w:right w:type="dxa" w:w="100"/>
            </w:tcMar>
            <w:vAlign w:val="center"/>
          </w:tcPr>
          <w:p>
            <w:r>
              <w:rPr>
                <w:rFonts w:ascii="Calibri" w:cs="Calibri" w:eastAsia="Calibri" w:hAnsi="Calibri"/>
                <w:i/>
                <w:iCs/>
                <w:color w:val="666666"/>
                <w:sz w:val="20"/>
                <w:szCs w:val="20"/>
              </w:rPr>
              <w:t xml:space="preserve">[MM/DD/YYYY]</w:t>
            </w:r>
          </w:p>
        </w:tc>
      </w:tr>
      <w:tr>
        <w:tc>
          <w:tcPr>
            <w:tcW w:type="dxa" w:w="240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r>
              <w:rPr>
                <w:rFonts w:ascii="Calibri" w:cs="Calibri" w:eastAsia="Calibri" w:hAnsi="Calibri"/>
                <w:b/>
                <w:bCs/>
                <w:color w:val="FFFFFF"/>
                <w:sz w:val="20"/>
                <w:szCs w:val="20"/>
              </w:rPr>
              <w:t xml:space="preserve">Supervisor:</w:t>
            </w:r>
          </w:p>
        </w:tc>
        <w:tc>
          <w:tcPr>
            <w:tcW w:type="dxa" w:w="7680"/>
            <w:tcBorders>
              <w:top w:val="single" w:color="999999" w:sz="1"/>
              <w:left w:val="single" w:color="999999" w:sz="1"/>
              <w:bottom w:val="single" w:color="999999" w:sz="1"/>
              <w:right w:val="single" w:color="999999" w:sz="1"/>
            </w:tcBorders>
            <w:tcMar>
              <w:top w:type="dxa" w:w="50"/>
              <w:left w:type="dxa" w:w="100"/>
              <w:bottom w:type="dxa" w:w="50"/>
              <w:right w:type="dxa" w:w="100"/>
            </w:tcMar>
            <w:vAlign w:val="center"/>
          </w:tcPr>
          <w:p>
            <w:r>
              <w:rPr>
                <w:rFonts w:ascii="Calibri" w:cs="Calibri" w:eastAsia="Calibri" w:hAnsi="Calibri"/>
                <w:i/>
                <w:iCs/>
                <w:color w:val="666666"/>
                <w:sz w:val="20"/>
                <w:szCs w:val="20"/>
              </w:rPr>
              <w:t xml:space="preserve">[Enter Supervisor Name]</w:t>
            </w:r>
          </w:p>
        </w:tc>
      </w:tr>
      <w:tr>
        <w:tc>
          <w:tcPr>
            <w:tcW w:type="dxa" w:w="240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r>
              <w:rPr>
                <w:rFonts w:ascii="Calibri" w:cs="Calibri" w:eastAsia="Calibri" w:hAnsi="Calibri"/>
                <w:b/>
                <w:bCs/>
                <w:color w:val="FFFFFF"/>
                <w:sz w:val="20"/>
                <w:szCs w:val="20"/>
              </w:rPr>
              <w:t xml:space="preserve">JHA Number:</w:t>
            </w:r>
          </w:p>
        </w:tc>
        <w:tc>
          <w:tcPr>
            <w:tcW w:type="dxa" w:w="7680"/>
            <w:tcBorders>
              <w:top w:val="single" w:color="999999" w:sz="1"/>
              <w:left w:val="single" w:color="999999" w:sz="1"/>
              <w:bottom w:val="single" w:color="999999" w:sz="1"/>
              <w:right w:val="single" w:color="999999" w:sz="1"/>
            </w:tcBorders>
            <w:tcMar>
              <w:top w:type="dxa" w:w="50"/>
              <w:left w:type="dxa" w:w="100"/>
              <w:bottom w:type="dxa" w:w="50"/>
              <w:right w:type="dxa" w:w="100"/>
            </w:tcMar>
            <w:vAlign w:val="center"/>
          </w:tcPr>
          <w:p>
            <w:r>
              <w:rPr>
                <w:rFonts w:ascii="Calibri" w:cs="Calibri" w:eastAsia="Calibri" w:hAnsi="Calibri"/>
                <w:i/>
                <w:iCs/>
                <w:color w:val="666666"/>
                <w:sz w:val="20"/>
                <w:szCs w:val="20"/>
              </w:rPr>
              <w:t xml:space="preserve">[JHA-DM-001]</w:t>
            </w:r>
          </w:p>
        </w:tc>
      </w:tr>
      <w:tr>
        <w:tc>
          <w:tcPr>
            <w:tcW w:type="dxa" w:w="240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r>
              <w:rPr>
                <w:rFonts w:ascii="Calibri" w:cs="Calibri" w:eastAsia="Calibri" w:hAnsi="Calibri"/>
                <w:b/>
                <w:bCs/>
                <w:color w:val="FFFFFF"/>
                <w:sz w:val="20"/>
                <w:szCs w:val="20"/>
              </w:rPr>
              <w:t xml:space="preserve">Work Activity:</w:t>
            </w:r>
          </w:p>
        </w:tc>
        <w:tc>
          <w:tcPr>
            <w:tcW w:type="dxa" w:w="7680"/>
            <w:tcBorders>
              <w:top w:val="single" w:color="999999" w:sz="1"/>
              <w:left w:val="single" w:color="999999" w:sz="1"/>
              <w:bottom w:val="single" w:color="999999" w:sz="1"/>
              <w:right w:val="single" w:color="999999" w:sz="1"/>
            </w:tcBorders>
            <w:tcMar>
              <w:top w:type="dxa" w:w="50"/>
              <w:left w:type="dxa" w:w="100"/>
              <w:bottom w:type="dxa" w:w="50"/>
              <w:right w:type="dxa" w:w="100"/>
            </w:tcMar>
            <w:vAlign w:val="center"/>
          </w:tcPr>
          <w:p>
            <w:r>
              <w:rPr>
                <w:rFonts w:ascii="Calibri" w:cs="Calibri" w:eastAsia="Calibri" w:hAnsi="Calibri"/>
                <w:i/>
                <w:iCs/>
                <w:color w:val="666666"/>
                <w:sz w:val="20"/>
                <w:szCs w:val="20"/>
              </w:rPr>
              <w:t xml:space="preserve">Demolition — 29 CFR 1926 Subpart T</w:t>
            </w:r>
          </w:p>
        </w:tc>
      </w:tr>
    </w:tbl>
    <w:p>
      <w:r>
        <w:br w:type="page"/>
      </w:r>
    </w:p>
    <w:p>
      <w:pPr>
        <w:spacing w:after="120" w:before="300"/>
      </w:pPr>
      <w:r>
        <w:rPr>
          <w:rFonts w:ascii="Calibri" w:cs="Calibri" w:eastAsia="Calibri" w:hAnsi="Calibri"/>
          <w:b/>
          <w:bCs/>
          <w:color w:val="1B2A4A"/>
          <w:sz w:val="26"/>
          <w:szCs w:val="26"/>
        </w:rPr>
        <w:t xml:space="preserve">JOB HAZARD ANALYSIS — TASK STEPS &amp; CONTROLS</w:t>
      </w:r>
    </w:p>
    <w:p>
      <w:pPr>
        <w:spacing w:after="120" w:before="60"/>
      </w:pPr>
      <w:r>
        <w:rPr>
          <w:rFonts w:ascii="Calibri" w:cs="Calibri" w:eastAsia="Calibri" w:hAnsi="Calibri"/>
          <w:b w:val="false"/>
          <w:bCs w:val="false"/>
          <w:color w:val="333333"/>
          <w:sz w:val="20"/>
          <w:szCs w:val="20"/>
        </w:rPr>
        <w:t xml:space="preserve">The following analysis identifies task steps, associated hazards, risk levels, and control measures for demolition operations. All workers must review this JHA before commencing work.</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000"/>
        <w:gridCol w:w="2400"/>
        <w:gridCol w:w="1000"/>
        <w:gridCol w:w="4680"/>
      </w:tblGrid>
      <w:tr>
        <w:trPr>
          <w:tblHeader/>
        </w:trPr>
        <w:tc>
          <w:tcPr>
            <w:tcW w:type="dxa" w:w="2000"/>
            <w:tcBorders>
              <w:top w:val="single" w:color="999999" w:sz="1"/>
              <w:left w:val="single" w:color="999999" w:sz="1"/>
              <w:bottom w:val="single" w:color="999999" w:sz="1"/>
              <w:right w:val="single" w:color="999999"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Task Step</w:t>
            </w:r>
          </w:p>
        </w:tc>
        <w:tc>
          <w:tcPr>
            <w:tcW w:type="dxa" w:w="2400"/>
            <w:tcBorders>
              <w:top w:val="single" w:color="999999" w:sz="1"/>
              <w:left w:val="single" w:color="999999" w:sz="1"/>
              <w:bottom w:val="single" w:color="999999" w:sz="1"/>
              <w:right w:val="single" w:color="999999"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Hazard(s)</w:t>
            </w:r>
          </w:p>
        </w:tc>
        <w:tc>
          <w:tcPr>
            <w:tcW w:type="dxa" w:w="1000"/>
            <w:tcBorders>
              <w:top w:val="single" w:color="999999" w:sz="1"/>
              <w:left w:val="single" w:color="999999" w:sz="1"/>
              <w:bottom w:val="single" w:color="999999" w:sz="1"/>
              <w:right w:val="single" w:color="999999"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Risk Level
(H/M/L)</w:t>
            </w:r>
          </w:p>
        </w:tc>
        <w:tc>
          <w:tcPr>
            <w:tcW w:type="dxa" w:w="4680"/>
            <w:tcBorders>
              <w:top w:val="single" w:color="999999" w:sz="1"/>
              <w:left w:val="single" w:color="999999" w:sz="1"/>
              <w:bottom w:val="single" w:color="999999" w:sz="1"/>
              <w:right w:val="single" w:color="999999"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Control Measures</w:t>
            </w:r>
          </w:p>
        </w:tc>
      </w:tr>
      <w:tr>
        <w:tc>
          <w:tcPr>
            <w:tcW w:type="dxa" w:w="20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bCs/>
                <w:color w:val="333333"/>
                <w:sz w:val="18"/>
                <w:szCs w:val="18"/>
              </w:rPr>
              <w:t xml:space="preserve">1. Engineering Survey &amp; Pre-Demolition Planning</w:t>
            </w:r>
          </w:p>
        </w:tc>
        <w:tc>
          <w:tcPr>
            <w:tcW w:type="dxa" w:w="24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Unidentified structural weaknesses, unknown hazardous materials, incomplete utility mapping, adjacent structure damage</w:t>
            </w:r>
          </w:p>
        </w:tc>
        <w:tc>
          <w:tcPr>
            <w:tcW w:type="dxa" w:w="10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center"/>
            </w:pPr>
            <w:r>
              <w:rPr>
                <w:rFonts w:ascii="Calibri" w:cs="Calibri" w:eastAsia="Calibri" w:hAnsi="Calibri"/>
                <w:b/>
                <w:bCs/>
                <w:color w:val="CC0000"/>
                <w:sz w:val="18"/>
                <w:szCs w:val="18"/>
              </w:rPr>
              <w:t xml:space="preserve">H</w:t>
            </w:r>
          </w:p>
        </w:tc>
        <w:tc>
          <w:tcPr>
            <w:tcW w:type="dxa" w:w="468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 Engineering survey conducted by competent person per 1926.850(a)
• Written demolition plan developed and reviewed
• Structural drawings obtained and reviewed
• Adjacent properties assessed for exposure risk
• Survey documented and kept on-site at all times</w:t>
            </w:r>
          </w:p>
        </w:tc>
      </w:tr>
      <w:tr>
        <w:tc>
          <w:tcPr>
            <w:tcW w:type="dxa" w:w="200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left"/>
            </w:pPr>
            <w:r>
              <w:rPr>
                <w:rFonts w:ascii="Calibri" w:cs="Calibri" w:eastAsia="Calibri" w:hAnsi="Calibri"/>
                <w:b/>
                <w:bCs/>
                <w:color w:val="333333"/>
                <w:sz w:val="18"/>
                <w:szCs w:val="18"/>
              </w:rPr>
              <w:t xml:space="preserve">2. Utility Disconnection &amp; Verification</w:t>
            </w:r>
          </w:p>
        </w:tc>
        <w:tc>
          <w:tcPr>
            <w:tcW w:type="dxa" w:w="240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Electrical contact/electrocution, gas line rupture/explosion, water main flooding, telecom/fiber damage</w:t>
            </w:r>
          </w:p>
        </w:tc>
        <w:tc>
          <w:tcPr>
            <w:tcW w:type="dxa" w:w="100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center"/>
            </w:pPr>
            <w:r>
              <w:rPr>
                <w:rFonts w:ascii="Calibri" w:cs="Calibri" w:eastAsia="Calibri" w:hAnsi="Calibri"/>
                <w:b/>
                <w:bCs/>
                <w:color w:val="CC0000"/>
                <w:sz w:val="18"/>
                <w:szCs w:val="18"/>
              </w:rPr>
              <w:t xml:space="preserve">H</w:t>
            </w:r>
          </w:p>
        </w:tc>
        <w:tc>
          <w:tcPr>
            <w:tcW w:type="dxa" w:w="468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 All utilities identified, disconnected, and capped by utility provider
• Written confirmation obtained from each utility company
• Lockout/tagout (LOTO) procedures applied per 1926.417
• Test all conductors as de-energized before work begins
• Utility map posted at site entrance</w:t>
            </w:r>
          </w:p>
        </w:tc>
      </w:tr>
      <w:tr>
        <w:tc>
          <w:tcPr>
            <w:tcW w:type="dxa" w:w="20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bCs/>
                <w:color w:val="333333"/>
                <w:sz w:val="18"/>
                <w:szCs w:val="18"/>
              </w:rPr>
              <w:t xml:space="preserve">3. Hazardous Material Abatement (Asbestos, Lead, PCBs)</w:t>
            </w:r>
          </w:p>
        </w:tc>
        <w:tc>
          <w:tcPr>
            <w:tcW w:type="dxa" w:w="24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Asbestos fiber inhalation (mesothelioma), lead dust exposure, PCB contamination, silica dust, chemical burns</w:t>
            </w:r>
          </w:p>
        </w:tc>
        <w:tc>
          <w:tcPr>
            <w:tcW w:type="dxa" w:w="10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center"/>
            </w:pPr>
            <w:r>
              <w:rPr>
                <w:rFonts w:ascii="Calibri" w:cs="Calibri" w:eastAsia="Calibri" w:hAnsi="Calibri"/>
                <w:b/>
                <w:bCs/>
                <w:color w:val="CC0000"/>
                <w:sz w:val="18"/>
                <w:szCs w:val="18"/>
              </w:rPr>
              <w:t xml:space="preserve">H</w:t>
            </w:r>
          </w:p>
        </w:tc>
        <w:tc>
          <w:tcPr>
            <w:tcW w:type="dxa" w:w="468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 Comprehensive hazmat survey by licensed inspector before demolition
• Asbestos abatement by licensed contractor per 1926.1101
• Lead abatement per 1926.62; blood lead level monitoring for workers
• Negative air pressure enclosures for abatement areas
• Air monitoring throughout abatement; clearance testing before proceeding
• Waste manifested and disposed at licensed facility</w:t>
            </w:r>
          </w:p>
        </w:tc>
      </w:tr>
      <w:tr>
        <w:tc>
          <w:tcPr>
            <w:tcW w:type="dxa" w:w="200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left"/>
            </w:pPr>
            <w:r>
              <w:rPr>
                <w:rFonts w:ascii="Calibri" w:cs="Calibri" w:eastAsia="Calibri" w:hAnsi="Calibri"/>
                <w:b/>
                <w:bCs/>
                <w:color w:val="333333"/>
                <w:sz w:val="18"/>
                <w:szCs w:val="18"/>
              </w:rPr>
              <w:t xml:space="preserve">4. Structural Weakening Sequence</w:t>
            </w:r>
          </w:p>
        </w:tc>
        <w:tc>
          <w:tcPr>
            <w:tcW w:type="dxa" w:w="240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Premature/uncontrolled collapse, falls from height, struck-by falling debris, floor/wall failure</w:t>
            </w:r>
          </w:p>
        </w:tc>
        <w:tc>
          <w:tcPr>
            <w:tcW w:type="dxa" w:w="100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center"/>
            </w:pPr>
            <w:r>
              <w:rPr>
                <w:rFonts w:ascii="Calibri" w:cs="Calibri" w:eastAsia="Calibri" w:hAnsi="Calibri"/>
                <w:b/>
                <w:bCs/>
                <w:color w:val="CC0000"/>
                <w:sz w:val="18"/>
                <w:szCs w:val="18"/>
              </w:rPr>
              <w:t xml:space="preserve">H</w:t>
            </w:r>
          </w:p>
        </w:tc>
        <w:tc>
          <w:tcPr>
            <w:tcW w:type="dxa" w:w="468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 Sequential demolition plan followed top-down per 1926.850(e)
• No workers permitted on structures being weakened unless protected
• Continuous structural monitoring by competent person
• Temporary shoring/bracing installed as required
• Exclusion zones established and enforced around weakening areas
• Floor openings covered or barricaded per 1926.502</w:t>
            </w:r>
          </w:p>
        </w:tc>
      </w:tr>
      <w:tr>
        <w:tc>
          <w:tcPr>
            <w:tcW w:type="dxa" w:w="20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bCs/>
                <w:color w:val="333333"/>
                <w:sz w:val="18"/>
                <w:szCs w:val="18"/>
              </w:rPr>
              <w:t xml:space="preserve">5. Mechanical Demolition (Excavator, Wrecking Ball, Shears)</w:t>
            </w:r>
          </w:p>
        </w:tc>
        <w:tc>
          <w:tcPr>
            <w:tcW w:type="dxa" w:w="24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Struck-by debris/projectiles, equipment rollover, dust inhalation (silica), noise exposure, flying glass/concrete</w:t>
            </w:r>
          </w:p>
        </w:tc>
        <w:tc>
          <w:tcPr>
            <w:tcW w:type="dxa" w:w="10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center"/>
            </w:pPr>
            <w:r>
              <w:rPr>
                <w:rFonts w:ascii="Calibri" w:cs="Calibri" w:eastAsia="Calibri" w:hAnsi="Calibri"/>
                <w:b/>
                <w:bCs/>
                <w:color w:val="CC0000"/>
                <w:sz w:val="18"/>
                <w:szCs w:val="18"/>
              </w:rPr>
              <w:t xml:space="preserve">H</w:t>
            </w:r>
          </w:p>
        </w:tc>
        <w:tc>
          <w:tcPr>
            <w:tcW w:type="dxa" w:w="468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 Minimum exclusion zone of 1.5x building height maintained
• Dust suppression: continuous water spray on demolition face
• Silica exposure monitoring per 1926.1153 (Table 1 or exposure assessment)
• ROPS/FOPS on all demolition equipment
• Operator protected in enclosed cab with HEPA filtration
• Spotters posted at exclusion zone perimeter</w:t>
            </w:r>
          </w:p>
        </w:tc>
      </w:tr>
      <w:tr>
        <w:tc>
          <w:tcPr>
            <w:tcW w:type="dxa" w:w="200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left"/>
            </w:pPr>
            <w:r>
              <w:rPr>
                <w:rFonts w:ascii="Calibri" w:cs="Calibri" w:eastAsia="Calibri" w:hAnsi="Calibri"/>
                <w:b/>
                <w:bCs/>
                <w:color w:val="333333"/>
                <w:sz w:val="18"/>
                <w:szCs w:val="18"/>
              </w:rPr>
              <w:t xml:space="preserve">6. Debris Removal &amp; Material Sorting</w:t>
            </w:r>
          </w:p>
        </w:tc>
        <w:tc>
          <w:tcPr>
            <w:tcW w:type="dxa" w:w="240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Struck-by falling debris, crushing by heavy equipment, rebar puncture wounds, hidden hazmat in rubble, dust exposure</w:t>
            </w:r>
          </w:p>
        </w:tc>
        <w:tc>
          <w:tcPr>
            <w:tcW w:type="dxa" w:w="100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center"/>
            </w:pPr>
            <w:r>
              <w:rPr>
                <w:rFonts w:ascii="Calibri" w:cs="Calibri" w:eastAsia="Calibri" w:hAnsi="Calibri"/>
                <w:b/>
                <w:bCs/>
                <w:color w:val="E8A838"/>
                <w:sz w:val="18"/>
                <w:szCs w:val="18"/>
              </w:rPr>
              <w:t xml:space="preserve">M</w:t>
            </w:r>
          </w:p>
        </w:tc>
        <w:tc>
          <w:tcPr>
            <w:tcW w:type="dxa" w:w="4680"/>
            <w:tcBorders>
              <w:top w:val="single" w:color="999999" w:sz="1"/>
              <w:left w:val="single" w:color="999999" w:sz="1"/>
              <w:bottom w:val="single" w:color="999999" w:sz="1"/>
              <w:right w:val="single" w:color="999999" w:sz="1"/>
            </w:tcBorders>
            <w:shd w:fill="F2F2F2"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 Debris chutes or crane/bucket for upper floor removal
• No materials dropped from height outside designated chutes
• Workers clear of equipment swing radius at all times
• Material sorted: concrete, metals, wood, hazmat waste
• Dust suppression maintained during loading/hauling
• All loads secured before transport per DOT requirements</w:t>
            </w:r>
          </w:p>
        </w:tc>
      </w:tr>
      <w:tr>
        <w:tc>
          <w:tcPr>
            <w:tcW w:type="dxa" w:w="20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bCs/>
                <w:color w:val="333333"/>
                <w:sz w:val="18"/>
                <w:szCs w:val="18"/>
              </w:rPr>
              <w:t xml:space="preserve">7. Site Stabilization &amp; Final Clearance</w:t>
            </w:r>
          </w:p>
        </w:tc>
        <w:tc>
          <w:tcPr>
            <w:tcW w:type="dxa" w:w="24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Unstable foundations/basements, open excavations, standing water, residual contamination</w:t>
            </w:r>
          </w:p>
        </w:tc>
        <w:tc>
          <w:tcPr>
            <w:tcW w:type="dxa" w:w="100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center"/>
            </w:pPr>
            <w:r>
              <w:rPr>
                <w:rFonts w:ascii="Calibri" w:cs="Calibri" w:eastAsia="Calibri" w:hAnsi="Calibri"/>
                <w:b/>
                <w:bCs/>
                <w:color w:val="E8A838"/>
                <w:sz w:val="18"/>
                <w:szCs w:val="18"/>
              </w:rPr>
              <w:t xml:space="preserve">M</w:t>
            </w:r>
          </w:p>
        </w:tc>
        <w:tc>
          <w:tcPr>
            <w:tcW w:type="dxa" w:w="4680"/>
            <w:tcBorders>
              <w:top w:val="single" w:color="999999" w:sz="1"/>
              <w:left w:val="single" w:color="999999" w:sz="1"/>
              <w:bottom w:val="single" w:color="999999" w:sz="1"/>
              <w:right w:val="single" w:color="999999" w:sz="1"/>
            </w:tcBorders>
            <w:shd w:fill="FFFFFF" w:val="clear"/>
            <w:tcMar>
              <w:top w:type="dxa" w:w="60"/>
              <w:left w:type="dxa" w:w="80"/>
              <w:bottom w:type="dxa" w:w="60"/>
              <w:right w:type="dxa" w:w="80"/>
            </w:tcMar>
            <w:vAlign w:val="top"/>
          </w:tcPr>
          <w:p>
            <w:pPr>
              <w:spacing w:after="20" w:before="20"/>
              <w:jc w:val="left"/>
            </w:pPr>
            <w:r>
              <w:rPr>
                <w:rFonts w:ascii="Calibri" w:cs="Calibri" w:eastAsia="Calibri" w:hAnsi="Calibri"/>
                <w:b w:val="false"/>
                <w:bCs w:val="false"/>
                <w:color w:val="333333"/>
                <w:sz w:val="18"/>
                <w:szCs w:val="18"/>
              </w:rPr>
              <w:t xml:space="preserve">• Below-grade structures filled or properly shored
• Environmental clearance sampling completed
• Open excavations barricaded or backfilled
• Final site inspection documented by competent person
• Erosion and sediment controls installed per SWPPP</w:t>
            </w:r>
          </w:p>
        </w:tc>
      </w:tr>
    </w:tbl>
    <w:p>
      <w:r>
        <w:br w:type="page"/>
      </w:r>
    </w:p>
    <w:p>
      <w:pPr>
        <w:spacing w:after="120" w:before="300"/>
      </w:pPr>
      <w:r>
        <w:rPr>
          <w:rFonts w:ascii="Calibri" w:cs="Calibri" w:eastAsia="Calibri" w:hAnsi="Calibri"/>
          <w:b/>
          <w:bCs/>
          <w:color w:val="1B2A4A"/>
          <w:sz w:val="26"/>
          <w:szCs w:val="26"/>
        </w:rPr>
        <w:t xml:space="preserve">REQUIRED PERSONAL PROTECTIVE EQUIPMENT (PPE)</w:t>
      </w:r>
    </w:p>
    <w:p>
      <w:pPr>
        <w:spacing w:after="40" w:before="40"/>
        <w:ind w:left="360"/>
      </w:pPr>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Hard hat (ANSI Z89.1 Type I, Class E) — required at all times on site</w:t>
      </w:r>
    </w:p>
    <w:p>
      <w:pPr>
        <w:spacing w:after="40" w:before="40"/>
        <w:ind w:left="360"/>
      </w:pPr>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Safety glasses with side shields (ANSI Z87.1) — required at all times; goggles for dust exposure</w:t>
      </w:r>
    </w:p>
    <w:p>
      <w:pPr>
        <w:spacing w:after="40" w:before="40"/>
        <w:ind w:left="360"/>
      </w:pPr>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High-visibility vest (ANSI/ISEA 107 Class 2 minimum) — required at all times</w:t>
      </w:r>
    </w:p>
    <w:p>
      <w:pPr>
        <w:spacing w:after="40" w:before="40"/>
        <w:ind w:left="360"/>
      </w:pPr>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Steel-toed boots (ASTM F2413) with puncture-resistant soles and metatarsal guards</w:t>
      </w:r>
    </w:p>
    <w:p>
      <w:pPr>
        <w:spacing w:after="40" w:before="40"/>
        <w:ind w:left="360"/>
      </w:pPr>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Cut-resistant gloves (ANSI A4 minimum) for debris handling; chemical-resistant gloves for hazmat</w:t>
      </w:r>
    </w:p>
    <w:p>
      <w:pPr>
        <w:spacing w:after="40" w:before="40"/>
        <w:ind w:left="360"/>
      </w:pPr>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Hearing protection (NRR 25+) required during mechanical demolition operations</w:t>
      </w:r>
    </w:p>
    <w:p>
      <w:pPr>
        <w:spacing w:after="40" w:before="40"/>
        <w:ind w:left="360"/>
      </w:pPr>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Respiratory protection: N95 minimum for dust; half-face P100 for lead; full-face with HEPA for asbestos</w:t>
      </w:r>
    </w:p>
    <w:p>
      <w:pPr>
        <w:spacing w:after="40" w:before="40"/>
        <w:ind w:left="360"/>
      </w:pPr>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Personal Fall Arrest System (PFAS) for work above 6 feet</w:t>
      </w:r>
    </w:p>
    <w:p>
      <w:pPr>
        <w:spacing w:after="40" w:before="40"/>
        <w:ind w:left="360"/>
      </w:pPr>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Disposable Tyvek coveralls during hazardous material abatement operations</w:t>
      </w:r>
    </w:p>
    <w:p>
      <w:pPr>
        <w:spacing w:after="40" w:before="40"/>
        <w:ind w:left="360"/>
      </w:pPr>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Face shield for cutting/sawing operations with projectile hazards</w:t>
      </w:r>
    </w:p>
    <w:p>
      <w:pPr>
        <w:spacing w:after="120" w:before="300"/>
      </w:pPr>
      <w:r>
        <w:rPr>
          <w:rFonts w:ascii="Calibri" w:cs="Calibri" w:eastAsia="Calibri" w:hAnsi="Calibri"/>
          <w:b/>
          <w:bCs/>
          <w:color w:val="1B2A4A"/>
          <w:sz w:val="26"/>
          <w:szCs w:val="26"/>
        </w:rPr>
        <w:t xml:space="preserve">EMERGENCY PROCEDURES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3200"/>
        <w:gridCol w:w="6880"/>
      </w:tblGrid>
      <w:tr>
        <w:tc>
          <w:tcPr>
            <w:tcW w:type="dxa" w:w="320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Emergency Contact Number:</w:t>
            </w:r>
          </w:p>
        </w:tc>
        <w:tc>
          <w:tcPr>
            <w:tcW w:type="dxa" w:w="6880"/>
            <w:tcBorders>
              <w:top w:val="single" w:color="999999" w:sz="1"/>
              <w:left w:val="single" w:color="999999" w:sz="1"/>
              <w:bottom w:val="single" w:color="999999" w:sz="1"/>
              <w:right w:val="single" w:color="999999" w:sz="1"/>
            </w:tcBorders>
            <w:tcMar>
              <w:top w:type="dxa" w:w="50"/>
              <w:left w:type="dxa" w:w="100"/>
              <w:bottom w:type="dxa" w:w="50"/>
              <w:right w:type="dxa" w:w="100"/>
            </w:tcMar>
          </w:tcPr>
          <w:p>
            <w:r>
              <w:rPr>
                <w:rFonts w:ascii="Calibri" w:cs="Calibri" w:eastAsia="Calibri" w:hAnsi="Calibri"/>
                <w:i/>
                <w:iCs/>
                <w:color w:val="666666"/>
                <w:sz w:val="20"/>
                <w:szCs w:val="20"/>
              </w:rPr>
              <w:t xml:space="preserve">[Enter Phone Number]</w:t>
            </w:r>
          </w:p>
        </w:tc>
      </w:tr>
      <w:tr>
        <w:tc>
          <w:tcPr>
            <w:tcW w:type="dxa" w:w="320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Nearest Hospital:</w:t>
            </w:r>
          </w:p>
        </w:tc>
        <w:tc>
          <w:tcPr>
            <w:tcW w:type="dxa" w:w="6880"/>
            <w:tcBorders>
              <w:top w:val="single" w:color="999999" w:sz="1"/>
              <w:left w:val="single" w:color="999999" w:sz="1"/>
              <w:bottom w:val="single" w:color="999999" w:sz="1"/>
              <w:right w:val="single" w:color="999999" w:sz="1"/>
            </w:tcBorders>
            <w:tcMar>
              <w:top w:type="dxa" w:w="50"/>
              <w:left w:type="dxa" w:w="100"/>
              <w:bottom w:type="dxa" w:w="50"/>
              <w:right w:type="dxa" w:w="100"/>
            </w:tcMar>
          </w:tcPr>
          <w:p>
            <w:r>
              <w:rPr>
                <w:rFonts w:ascii="Calibri" w:cs="Calibri" w:eastAsia="Calibri" w:hAnsi="Calibri"/>
                <w:i/>
                <w:iCs/>
                <w:color w:val="666666"/>
                <w:sz w:val="20"/>
                <w:szCs w:val="20"/>
              </w:rPr>
              <w:t xml:space="preserve">[Enter Hospital Name &amp; Address]</w:t>
            </w:r>
          </w:p>
        </w:tc>
      </w:tr>
      <w:tr>
        <w:tc>
          <w:tcPr>
            <w:tcW w:type="dxa" w:w="320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Site Assembly Point:</w:t>
            </w:r>
          </w:p>
        </w:tc>
        <w:tc>
          <w:tcPr>
            <w:tcW w:type="dxa" w:w="6880"/>
            <w:tcBorders>
              <w:top w:val="single" w:color="999999" w:sz="1"/>
              <w:left w:val="single" w:color="999999" w:sz="1"/>
              <w:bottom w:val="single" w:color="999999" w:sz="1"/>
              <w:right w:val="single" w:color="999999" w:sz="1"/>
            </w:tcBorders>
            <w:tcMar>
              <w:top w:type="dxa" w:w="50"/>
              <w:left w:type="dxa" w:w="100"/>
              <w:bottom w:type="dxa" w:w="50"/>
              <w:right w:type="dxa" w:w="100"/>
            </w:tcMar>
          </w:tcPr>
          <w:p>
            <w:r>
              <w:rPr>
                <w:rFonts w:ascii="Calibri" w:cs="Calibri" w:eastAsia="Calibri" w:hAnsi="Calibri"/>
                <w:i/>
                <w:iCs/>
                <w:color w:val="666666"/>
                <w:sz w:val="20"/>
                <w:szCs w:val="20"/>
              </w:rPr>
              <w:t xml:space="preserve">[Enter Location]</w:t>
            </w:r>
          </w:p>
        </w:tc>
      </w:tr>
      <w:tr>
        <w:tc>
          <w:tcPr>
            <w:tcW w:type="dxa" w:w="320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First Aid Kit Location:</w:t>
            </w:r>
          </w:p>
        </w:tc>
        <w:tc>
          <w:tcPr>
            <w:tcW w:type="dxa" w:w="6880"/>
            <w:tcBorders>
              <w:top w:val="single" w:color="999999" w:sz="1"/>
              <w:left w:val="single" w:color="999999" w:sz="1"/>
              <w:bottom w:val="single" w:color="999999" w:sz="1"/>
              <w:right w:val="single" w:color="999999" w:sz="1"/>
            </w:tcBorders>
            <w:tcMar>
              <w:top w:type="dxa" w:w="50"/>
              <w:left w:type="dxa" w:w="100"/>
              <w:bottom w:type="dxa" w:w="50"/>
              <w:right w:type="dxa" w:w="100"/>
            </w:tcMar>
          </w:tcPr>
          <w:p>
            <w:r>
              <w:rPr>
                <w:rFonts w:ascii="Calibri" w:cs="Calibri" w:eastAsia="Calibri" w:hAnsi="Calibri"/>
                <w:i/>
                <w:iCs/>
                <w:color w:val="666666"/>
                <w:sz w:val="20"/>
                <w:szCs w:val="20"/>
              </w:rPr>
              <w:t xml:space="preserve">[Enter Location]</w:t>
            </w:r>
          </w:p>
        </w:tc>
      </w:tr>
      <w:tr>
        <w:tc>
          <w:tcPr>
            <w:tcW w:type="dxa" w:w="320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AED Location:</w:t>
            </w:r>
          </w:p>
        </w:tc>
        <w:tc>
          <w:tcPr>
            <w:tcW w:type="dxa" w:w="6880"/>
            <w:tcBorders>
              <w:top w:val="single" w:color="999999" w:sz="1"/>
              <w:left w:val="single" w:color="999999" w:sz="1"/>
              <w:bottom w:val="single" w:color="999999" w:sz="1"/>
              <w:right w:val="single" w:color="999999" w:sz="1"/>
            </w:tcBorders>
            <w:tcMar>
              <w:top w:type="dxa" w:w="50"/>
              <w:left w:type="dxa" w:w="100"/>
              <w:bottom w:type="dxa" w:w="50"/>
              <w:right w:type="dxa" w:w="100"/>
            </w:tcMar>
          </w:tcPr>
          <w:p>
            <w:r>
              <w:rPr>
                <w:rFonts w:ascii="Calibri" w:cs="Calibri" w:eastAsia="Calibri" w:hAnsi="Calibri"/>
                <w:i/>
                <w:iCs/>
                <w:color w:val="666666"/>
                <w:sz w:val="20"/>
                <w:szCs w:val="20"/>
              </w:rPr>
              <w:t xml:space="preserve">[Enter Location]</w:t>
            </w:r>
          </w:p>
        </w:tc>
      </w:tr>
      <w:tr>
        <w:tc>
          <w:tcPr>
            <w:tcW w:type="dxa" w:w="320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Fire Extinguisher Locations:</w:t>
            </w:r>
          </w:p>
        </w:tc>
        <w:tc>
          <w:tcPr>
            <w:tcW w:type="dxa" w:w="6880"/>
            <w:tcBorders>
              <w:top w:val="single" w:color="999999" w:sz="1"/>
              <w:left w:val="single" w:color="999999" w:sz="1"/>
              <w:bottom w:val="single" w:color="999999" w:sz="1"/>
              <w:right w:val="single" w:color="999999" w:sz="1"/>
            </w:tcBorders>
            <w:tcMar>
              <w:top w:type="dxa" w:w="50"/>
              <w:left w:type="dxa" w:w="100"/>
              <w:bottom w:type="dxa" w:w="50"/>
              <w:right w:type="dxa" w:w="100"/>
            </w:tcMar>
          </w:tcPr>
          <w:p>
            <w:r>
              <w:rPr>
                <w:rFonts w:ascii="Calibri" w:cs="Calibri" w:eastAsia="Calibri" w:hAnsi="Calibri"/>
                <w:i/>
                <w:iCs/>
                <w:color w:val="666666"/>
                <w:sz w:val="20"/>
                <w:szCs w:val="20"/>
              </w:rPr>
              <w:t xml:space="preserve">[Enter Locations]</w:t>
            </w:r>
          </w:p>
        </w:tc>
      </w:tr>
      <w:tr>
        <w:tc>
          <w:tcPr>
            <w:tcW w:type="dxa" w:w="320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Hazmat Spill Kit Location:</w:t>
            </w:r>
          </w:p>
        </w:tc>
        <w:tc>
          <w:tcPr>
            <w:tcW w:type="dxa" w:w="6880"/>
            <w:tcBorders>
              <w:top w:val="single" w:color="999999" w:sz="1"/>
              <w:left w:val="single" w:color="999999" w:sz="1"/>
              <w:bottom w:val="single" w:color="999999" w:sz="1"/>
              <w:right w:val="single" w:color="999999" w:sz="1"/>
            </w:tcBorders>
            <w:tcMar>
              <w:top w:type="dxa" w:w="50"/>
              <w:left w:type="dxa" w:w="100"/>
              <w:bottom w:type="dxa" w:w="50"/>
              <w:right w:type="dxa" w:w="100"/>
            </w:tcMar>
          </w:tcPr>
          <w:p>
            <w:r>
              <w:rPr>
                <w:rFonts w:ascii="Calibri" w:cs="Calibri" w:eastAsia="Calibri" w:hAnsi="Calibri"/>
                <w:i/>
                <w:iCs/>
                <w:color w:val="666666"/>
                <w:sz w:val="20"/>
                <w:szCs w:val="20"/>
              </w:rPr>
              <w:t xml:space="preserve">[Enter Location]</w:t>
            </w:r>
          </w:p>
        </w:tc>
      </w:tr>
      <w:tr>
        <w:tc>
          <w:tcPr>
            <w:tcW w:type="dxa" w:w="320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Decontamination Station:</w:t>
            </w:r>
          </w:p>
        </w:tc>
        <w:tc>
          <w:tcPr>
            <w:tcW w:type="dxa" w:w="6880"/>
            <w:tcBorders>
              <w:top w:val="single" w:color="999999" w:sz="1"/>
              <w:left w:val="single" w:color="999999" w:sz="1"/>
              <w:bottom w:val="single" w:color="999999" w:sz="1"/>
              <w:right w:val="single" w:color="999999" w:sz="1"/>
            </w:tcBorders>
            <w:tcMar>
              <w:top w:type="dxa" w:w="50"/>
              <w:left w:type="dxa" w:w="100"/>
              <w:bottom w:type="dxa" w:w="50"/>
              <w:right w:type="dxa" w:w="100"/>
            </w:tcMar>
          </w:tcPr>
          <w:p>
            <w:r>
              <w:rPr>
                <w:rFonts w:ascii="Calibri" w:cs="Calibri" w:eastAsia="Calibri" w:hAnsi="Calibri"/>
                <w:i/>
                <w:iCs/>
                <w:color w:val="666666"/>
                <w:sz w:val="20"/>
                <w:szCs w:val="20"/>
              </w:rPr>
              <w:t xml:space="preserve">[Enter Location — Required for Hazmat Operations]</w:t>
            </w:r>
          </w:p>
        </w:tc>
      </w:tr>
    </w:tbl>
    <w:p>
      <w:pPr>
        <w:spacing w:before="200"/>
      </w:pPr>
    </w:p>
    <w:p>
      <w:pPr>
        <w:spacing w:after="120" w:before="300"/>
      </w:pPr>
      <w:r>
        <w:rPr>
          <w:rFonts w:ascii="Calibri" w:cs="Calibri" w:eastAsia="Calibri" w:hAnsi="Calibri"/>
          <w:b/>
          <w:bCs/>
          <w:color w:val="1B2A4A"/>
          <w:sz w:val="26"/>
          <w:szCs w:val="26"/>
        </w:rPr>
        <w:t xml:space="preserve">CREW SIGN-OFF — I HAVE REVIEWED AND UNDERSTAND THIS JHA</w:t>
      </w:r>
    </w:p>
    <w:p>
      <w:pPr>
        <w:spacing w:after="120" w:before="60"/>
      </w:pPr>
      <w:r>
        <w:rPr>
          <w:rFonts w:ascii="Calibri" w:cs="Calibri" w:eastAsia="Calibri" w:hAnsi="Calibri"/>
          <w:b w:val="false"/>
          <w:bCs w:val="false"/>
          <w:color w:val="333333"/>
          <w:sz w:val="20"/>
          <w:szCs w:val="20"/>
        </w:rPr>
        <w:t xml:space="preserve">By signing below, each crew member acknowledges they have reviewed this Job Hazard Analysis, understand the identified hazards and control measures, and agree to follow all safety procedures outlined herein.</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3600"/>
        <w:gridCol w:w="4080"/>
        <w:gridCol w:w="2400"/>
      </w:tblGrid>
      <w:tr>
        <w:tc>
          <w:tcPr>
            <w:tcW w:type="dxa" w:w="360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pPr>
              <w:jc w:val="center"/>
            </w:pPr>
            <w:r>
              <w:rPr>
                <w:rFonts w:ascii="Calibri" w:cs="Calibri" w:eastAsia="Calibri" w:hAnsi="Calibri"/>
                <w:b/>
                <w:bCs/>
                <w:color w:val="FFFFFF"/>
                <w:sz w:val="20"/>
                <w:szCs w:val="20"/>
              </w:rPr>
              <w:t xml:space="preserve">Printed Name</w:t>
            </w:r>
          </w:p>
        </w:tc>
        <w:tc>
          <w:tcPr>
            <w:tcW w:type="dxa" w:w="408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pPr>
              <w:jc w:val="center"/>
            </w:pPr>
            <w:r>
              <w:rPr>
                <w:rFonts w:ascii="Calibri" w:cs="Calibri" w:eastAsia="Calibri" w:hAnsi="Calibri"/>
                <w:b/>
                <w:bCs/>
                <w:color w:val="FFFFFF"/>
                <w:sz w:val="20"/>
                <w:szCs w:val="20"/>
              </w:rPr>
              <w:t xml:space="preserve">Signature</w:t>
            </w:r>
          </w:p>
        </w:tc>
        <w:tc>
          <w:tcPr>
            <w:tcW w:type="dxa" w:w="240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pPr>
              <w:jc w:val="center"/>
            </w:pPr>
            <w:r>
              <w:rPr>
                <w:rFonts w:ascii="Calibri" w:cs="Calibri" w:eastAsia="Calibri" w:hAnsi="Calibri"/>
                <w:b/>
                <w:bCs/>
                <w:color w:val="FFFFFF"/>
                <w:sz w:val="20"/>
                <w:szCs w:val="20"/>
              </w:rPr>
              <w:t xml:space="preserve">Date</w:t>
            </w:r>
          </w:p>
        </w:tc>
      </w:tr>
      <w:tr>
        <w:trPr>
          <w:trHeight w:val="400" w:hRule="atLeast"/>
        </w:trPr>
        <w:tc>
          <w:tcPr>
            <w:tcW w:type="dxa" w:w="360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c>
          <w:tcPr>
            <w:tcW w:type="dxa" w:w="408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c>
          <w:tcPr>
            <w:tcW w:type="dxa" w:w="240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r>
      <w:tr>
        <w:trPr>
          <w:trHeight w:val="400" w:hRule="atLeast"/>
        </w:trPr>
        <w:tc>
          <w:tcPr>
            <w:tcW w:type="dxa" w:w="360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c>
          <w:tcPr>
            <w:tcW w:type="dxa" w:w="408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c>
          <w:tcPr>
            <w:tcW w:type="dxa" w:w="240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r>
      <w:tr>
        <w:trPr>
          <w:trHeight w:val="400" w:hRule="atLeast"/>
        </w:trPr>
        <w:tc>
          <w:tcPr>
            <w:tcW w:type="dxa" w:w="360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c>
          <w:tcPr>
            <w:tcW w:type="dxa" w:w="408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c>
          <w:tcPr>
            <w:tcW w:type="dxa" w:w="240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r>
      <w:tr>
        <w:trPr>
          <w:trHeight w:val="400" w:hRule="atLeast"/>
        </w:trPr>
        <w:tc>
          <w:tcPr>
            <w:tcW w:type="dxa" w:w="360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c>
          <w:tcPr>
            <w:tcW w:type="dxa" w:w="408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c>
          <w:tcPr>
            <w:tcW w:type="dxa" w:w="240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r>
      <w:tr>
        <w:trPr>
          <w:trHeight w:val="400" w:hRule="atLeast"/>
        </w:trPr>
        <w:tc>
          <w:tcPr>
            <w:tcW w:type="dxa" w:w="360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c>
          <w:tcPr>
            <w:tcW w:type="dxa" w:w="408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c>
          <w:tcPr>
            <w:tcW w:type="dxa" w:w="240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r>
      <w:tr>
        <w:trPr>
          <w:trHeight w:val="400" w:hRule="atLeast"/>
        </w:trPr>
        <w:tc>
          <w:tcPr>
            <w:tcW w:type="dxa" w:w="360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c>
          <w:tcPr>
            <w:tcW w:type="dxa" w:w="408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c>
          <w:tcPr>
            <w:tcW w:type="dxa" w:w="240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r>
      <w:tr>
        <w:trPr>
          <w:trHeight w:val="400" w:hRule="atLeast"/>
        </w:trPr>
        <w:tc>
          <w:tcPr>
            <w:tcW w:type="dxa" w:w="360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c>
          <w:tcPr>
            <w:tcW w:type="dxa" w:w="408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c>
          <w:tcPr>
            <w:tcW w:type="dxa" w:w="240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r>
      <w:tr>
        <w:trPr>
          <w:trHeight w:val="400" w:hRule="atLeast"/>
        </w:trPr>
        <w:tc>
          <w:tcPr>
            <w:tcW w:type="dxa" w:w="360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c>
          <w:tcPr>
            <w:tcW w:type="dxa" w:w="408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c>
          <w:tcPr>
            <w:tcW w:type="dxa" w:w="240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r>
      <w:tr>
        <w:trPr>
          <w:trHeight w:val="400" w:hRule="atLeast"/>
        </w:trPr>
        <w:tc>
          <w:tcPr>
            <w:tcW w:type="dxa" w:w="360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c>
          <w:tcPr>
            <w:tcW w:type="dxa" w:w="408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c>
          <w:tcPr>
            <w:tcW w:type="dxa" w:w="2400"/>
            <w:tcBorders>
              <w:top w:val="single" w:color="999999" w:sz="1"/>
              <w:left w:val="single" w:color="999999" w:sz="1"/>
              <w:bottom w:val="single" w:color="999999" w:sz="1"/>
              <w:right w:val="single" w:color="999999" w:sz="1"/>
            </w:tcBorders>
            <w:shd w:fill="FFFFFF" w:val="clear"/>
            <w:tcMar>
              <w:top w:type="dxa" w:w="30"/>
              <w:left w:type="dxa" w:w="100"/>
              <w:bottom w:type="dxa" w:w="30"/>
              <w:right w:type="dxa" w:w="100"/>
            </w:tcMar>
          </w:tcPr>
          <w:p/>
        </w:tc>
      </w:tr>
      <w:tr>
        <w:trPr>
          <w:trHeight w:val="400" w:hRule="atLeast"/>
        </w:trPr>
        <w:tc>
          <w:tcPr>
            <w:tcW w:type="dxa" w:w="360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c>
          <w:tcPr>
            <w:tcW w:type="dxa" w:w="408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c>
          <w:tcPr>
            <w:tcW w:type="dxa" w:w="2400"/>
            <w:tcBorders>
              <w:top w:val="single" w:color="999999" w:sz="1"/>
              <w:left w:val="single" w:color="999999" w:sz="1"/>
              <w:bottom w:val="single" w:color="999999" w:sz="1"/>
              <w:right w:val="single" w:color="999999" w:sz="1"/>
            </w:tcBorders>
            <w:shd w:fill="F2F2F2" w:val="clear"/>
            <w:tcMar>
              <w:top w:type="dxa" w:w="30"/>
              <w:left w:type="dxa" w:w="100"/>
              <w:bottom w:type="dxa" w:w="30"/>
              <w:right w:type="dxa" w:w="100"/>
            </w:tcMar>
          </w:tcPr>
          <w:p/>
        </w:tc>
      </w:tr>
    </w:tbl>
    <w:p>
      <w:pPr>
        <w:spacing w:after="120" w:before="300"/>
      </w:pPr>
      <w:r>
        <w:rPr>
          <w:rFonts w:ascii="Calibri" w:cs="Calibri" w:eastAsia="Calibri" w:hAnsi="Calibri"/>
          <w:b/>
          <w:bCs/>
          <w:color w:val="1B2A4A"/>
          <w:sz w:val="26"/>
          <w:szCs w:val="26"/>
        </w:rPr>
        <w:t xml:space="preserve">ADDITIONAL HAZARDS / SITE-SPECIFIC NOTES</w:t>
      </w:r>
    </w:p>
    <w:p>
      <w:pPr>
        <w:spacing w:after="100" w:before="60"/>
      </w:pPr>
      <w:r>
        <w:rPr>
          <w:rFonts w:ascii="Calibri" w:cs="Calibri" w:eastAsia="Calibri" w:hAnsi="Calibri"/>
          <w:b w:val="false"/>
          <w:bCs w:val="false"/>
          <w:color w:val="333333"/>
          <w:sz w:val="20"/>
          <w:szCs w:val="20"/>
        </w:rPr>
        <w:t xml:space="preserve">Use this section to document any additional hazards, site-specific conditions, or supplemental control measures not covered above.</w:t>
      </w:r>
    </w:p>
    <w:p>
      <w:pPr>
        <w:spacing w:after="0" w:before="0"/>
      </w:pPr>
      <w:r>
        <w:rPr>
          <w:rFonts w:ascii="Calibri" w:cs="Calibri" w:eastAsia="Calibri" w:hAnsi="Calibri"/>
          <w:sz w:val="22"/>
          <w:szCs w:val="22"/>
        </w:rPr>
        <w:t xml:space="preserve"> </w:t>
      </w:r>
    </w:p>
    <w:p>
      <w:pPr>
        <w:spacing w:after="0" w:before="0"/>
      </w:pPr>
      <w:r>
        <w:rPr>
          <w:rFonts w:ascii="Calibri" w:cs="Calibri" w:eastAsia="Calibri" w:hAnsi="Calibri"/>
          <w:sz w:val="22"/>
          <w:szCs w:val="22"/>
        </w:rPr>
        <w:t xml:space="preserve"> </w:t>
      </w:r>
    </w:p>
    <w:p>
      <w:pPr>
        <w:spacing w:after="0" w:before="0"/>
      </w:pPr>
      <w:r>
        <w:rPr>
          <w:rFonts w:ascii="Calibri" w:cs="Calibri" w:eastAsia="Calibri" w:hAnsi="Calibri"/>
          <w:sz w:val="22"/>
          <w:szCs w:val="22"/>
        </w:rPr>
        <w:t xml:space="preserve"> </w:t>
      </w:r>
    </w:p>
    <w:p>
      <w:pPr>
        <w:spacing w:after="0" w:before="0"/>
      </w:pPr>
      <w:r>
        <w:rPr>
          <w:rFonts w:ascii="Calibri" w:cs="Calibri" w:eastAsia="Calibri" w:hAnsi="Calibri"/>
          <w:sz w:val="22"/>
          <w:szCs w:val="22"/>
        </w:rPr>
        <w:t xml:space="preserve"> </w:t>
      </w:r>
    </w:p>
    <w:p>
      <w:pPr>
        <w:spacing w:after="0" w:before="0"/>
      </w:pPr>
      <w:r>
        <w:rPr>
          <w:rFonts w:ascii="Calibri" w:cs="Calibri" w:eastAsia="Calibri" w:hAnsi="Calibri"/>
          <w:sz w:val="22"/>
          <w:szCs w:val="22"/>
        </w:rPr>
        <w:t xml:space="preserve"> </w:t>
      </w:r>
    </w:p>
    <w:p>
      <w:pPr>
        <w:spacing w:after="0" w:before="0"/>
      </w:pPr>
      <w:r>
        <w:rPr>
          <w:rFonts w:ascii="Calibri" w:cs="Calibri" w:eastAsia="Calibri" w:hAnsi="Calibri"/>
          <w:sz w:val="22"/>
          <w:szCs w:val="22"/>
        </w:rPr>
        <w:t xml:space="preserve"> </w:t>
      </w:r>
    </w:p>
    <w:p>
      <w:pPr>
        <w:spacing w:after="0" w:before="0"/>
      </w:pPr>
      <w:r>
        <w:rPr>
          <w:rFonts w:ascii="Calibri" w:cs="Calibri" w:eastAsia="Calibri" w:hAnsi="Calibri"/>
          <w:sz w:val="22"/>
          <w:szCs w:val="22"/>
        </w:rPr>
        <w:t xml:space="preserve"> </w:t>
      </w:r>
    </w:p>
    <w:p>
      <w:pPr>
        <w:spacing w:after="0" w:before="0"/>
      </w:pPr>
      <w:r>
        <w:rPr>
          <w:rFonts w:ascii="Calibri" w:cs="Calibri" w:eastAsia="Calibri" w:hAnsi="Calibri"/>
          <w:sz w:val="22"/>
          <w:szCs w:val="22"/>
        </w:rPr>
        <w:t xml:space="preserve"> </w:t>
      </w:r>
    </w:p>
    <w:p>
      <w:pPr>
        <w:spacing w:after="120" w:before="400"/>
      </w:pPr>
    </w:p>
    <w:p>
      <w:pPr>
        <w:spacing w:after="120" w:before="300"/>
      </w:pPr>
      <w:r>
        <w:rPr>
          <w:rFonts w:ascii="Calibri" w:cs="Calibri" w:eastAsia="Calibri" w:hAnsi="Calibri"/>
          <w:b/>
          <w:bCs/>
          <w:color w:val="1B2A4A"/>
          <w:sz w:val="26"/>
          <w:szCs w:val="26"/>
        </w:rPr>
        <w:t xml:space="preserve">JHA REVIEW &amp; APPROVAL</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500"/>
        <w:gridCol w:w="4080"/>
        <w:gridCol w:w="3500"/>
      </w:tblGrid>
      <w:tr>
        <w:tc>
          <w:tcPr>
            <w:tcW w:type="dxa" w:w="250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pPr>
              <w:jc w:val="center"/>
            </w:pPr>
            <w:r>
              <w:rPr>
                <w:rFonts w:ascii="Calibri" w:cs="Calibri" w:eastAsia="Calibri" w:hAnsi="Calibri"/>
                <w:b/>
                <w:bCs/>
                <w:color w:val="FFFFFF"/>
                <w:sz w:val="20"/>
                <w:szCs w:val="20"/>
              </w:rPr>
              <w:t xml:space="preserve">Role</w:t>
            </w:r>
          </w:p>
        </w:tc>
        <w:tc>
          <w:tcPr>
            <w:tcW w:type="dxa" w:w="408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pPr>
              <w:jc w:val="center"/>
            </w:pPr>
            <w:r>
              <w:rPr>
                <w:rFonts w:ascii="Calibri" w:cs="Calibri" w:eastAsia="Calibri" w:hAnsi="Calibri"/>
                <w:b/>
                <w:bCs/>
                <w:color w:val="FFFFFF"/>
                <w:sz w:val="20"/>
                <w:szCs w:val="20"/>
              </w:rPr>
              <w:t xml:space="preserve">Name / Signature</w:t>
            </w:r>
          </w:p>
        </w:tc>
        <w:tc>
          <w:tcPr>
            <w:tcW w:type="dxa" w:w="3500"/>
            <w:tcBorders>
              <w:top w:val="single" w:color="999999" w:sz="1"/>
              <w:left w:val="single" w:color="999999" w:sz="1"/>
              <w:bottom w:val="single" w:color="999999" w:sz="1"/>
              <w:right w:val="single" w:color="999999" w:sz="1"/>
            </w:tcBorders>
            <w:shd w:fill="1B2A4A" w:val="clear"/>
            <w:tcMar>
              <w:top w:type="dxa" w:w="50"/>
              <w:left w:type="dxa" w:w="100"/>
              <w:bottom w:type="dxa" w:w="50"/>
              <w:right w:type="dxa" w:w="100"/>
            </w:tcMar>
            <w:vAlign w:val="center"/>
          </w:tcPr>
          <w:p>
            <w:pPr>
              <w:jc w:val="center"/>
            </w:pPr>
            <w:r>
              <w:rPr>
                <w:rFonts w:ascii="Calibri" w:cs="Calibri" w:eastAsia="Calibri" w:hAnsi="Calibri"/>
                <w:b/>
                <w:bCs/>
                <w:color w:val="FFFFFF"/>
                <w:sz w:val="20"/>
                <w:szCs w:val="20"/>
              </w:rPr>
              <w:t xml:space="preserve">Date</w:t>
            </w:r>
          </w:p>
        </w:tc>
      </w:tr>
      <w:tr>
        <w:trPr>
          <w:trHeight w:val="500" w:hRule="atLeast"/>
        </w:trPr>
        <w:tc>
          <w:tcPr>
            <w:tcW w:type="dxa" w:w="250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r>
              <w:rPr>
                <w:rFonts w:ascii="Calibri" w:cs="Calibri" w:eastAsia="Calibri" w:hAnsi="Calibri"/>
                <w:b/>
                <w:bCs/>
                <w:color w:val="1B2A4A"/>
                <w:sz w:val="18"/>
                <w:szCs w:val="18"/>
              </w:rPr>
              <w:t xml:space="preserve">Prepared By (Competent Person):</w:t>
            </w:r>
          </w:p>
        </w:tc>
        <w:tc>
          <w:tcPr>
            <w:tcW w:type="dxa" w:w="408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tc>
        <w:tc>
          <w:tcPr>
            <w:tcW w:type="dxa" w:w="350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tc>
      </w:tr>
      <w:tr>
        <w:trPr>
          <w:trHeight w:val="500" w:hRule="atLeast"/>
        </w:trPr>
        <w:tc>
          <w:tcPr>
            <w:tcW w:type="dxa" w:w="2500"/>
            <w:tcBorders>
              <w:top w:val="single" w:color="999999" w:sz="1"/>
              <w:left w:val="single" w:color="999999" w:sz="1"/>
              <w:bottom w:val="single" w:color="999999" w:sz="1"/>
              <w:right w:val="single" w:color="999999" w:sz="1"/>
            </w:tcBorders>
            <w:shd w:fill="FFFFFF" w:val="clear"/>
            <w:tcMar>
              <w:top w:type="dxa" w:w="50"/>
              <w:left w:type="dxa" w:w="100"/>
              <w:bottom w:type="dxa" w:w="50"/>
              <w:right w:type="dxa" w:w="100"/>
            </w:tcMar>
          </w:tcPr>
          <w:p>
            <w:r>
              <w:rPr>
                <w:rFonts w:ascii="Calibri" w:cs="Calibri" w:eastAsia="Calibri" w:hAnsi="Calibri"/>
                <w:b/>
                <w:bCs/>
                <w:color w:val="1B2A4A"/>
                <w:sz w:val="18"/>
                <w:szCs w:val="18"/>
              </w:rPr>
              <w:t xml:space="preserve">Reviewed By (Site Superintendent):</w:t>
            </w:r>
          </w:p>
        </w:tc>
        <w:tc>
          <w:tcPr>
            <w:tcW w:type="dxa" w:w="4080"/>
            <w:tcBorders>
              <w:top w:val="single" w:color="999999" w:sz="1"/>
              <w:left w:val="single" w:color="999999" w:sz="1"/>
              <w:bottom w:val="single" w:color="999999" w:sz="1"/>
              <w:right w:val="single" w:color="999999" w:sz="1"/>
            </w:tcBorders>
            <w:shd w:fill="FFFFFF" w:val="clear"/>
            <w:tcMar>
              <w:top w:type="dxa" w:w="50"/>
              <w:left w:type="dxa" w:w="100"/>
              <w:bottom w:type="dxa" w:w="50"/>
              <w:right w:type="dxa" w:w="100"/>
            </w:tcMar>
          </w:tcPr>
          <w:p/>
        </w:tc>
        <w:tc>
          <w:tcPr>
            <w:tcW w:type="dxa" w:w="3500"/>
            <w:tcBorders>
              <w:top w:val="single" w:color="999999" w:sz="1"/>
              <w:left w:val="single" w:color="999999" w:sz="1"/>
              <w:bottom w:val="single" w:color="999999" w:sz="1"/>
              <w:right w:val="single" w:color="999999" w:sz="1"/>
            </w:tcBorders>
            <w:shd w:fill="FFFFFF" w:val="clear"/>
            <w:tcMar>
              <w:top w:type="dxa" w:w="50"/>
              <w:left w:type="dxa" w:w="100"/>
              <w:bottom w:type="dxa" w:w="50"/>
              <w:right w:type="dxa" w:w="100"/>
            </w:tcMar>
          </w:tcPr>
          <w:p/>
        </w:tc>
      </w:tr>
      <w:tr>
        <w:trPr>
          <w:trHeight w:val="500" w:hRule="atLeast"/>
        </w:trPr>
        <w:tc>
          <w:tcPr>
            <w:tcW w:type="dxa" w:w="250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r>
              <w:rPr>
                <w:rFonts w:ascii="Calibri" w:cs="Calibri" w:eastAsia="Calibri" w:hAnsi="Calibri"/>
                <w:b/>
                <w:bCs/>
                <w:color w:val="1B2A4A"/>
                <w:sz w:val="18"/>
                <w:szCs w:val="18"/>
              </w:rPr>
              <w:t xml:space="preserve">Approved By (Project Manager):</w:t>
            </w:r>
          </w:p>
        </w:tc>
        <w:tc>
          <w:tcPr>
            <w:tcW w:type="dxa" w:w="408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tc>
        <w:tc>
          <w:tcPr>
            <w:tcW w:type="dxa" w:w="3500"/>
            <w:tcBorders>
              <w:top w:val="single" w:color="999999" w:sz="1"/>
              <w:left w:val="single" w:color="999999" w:sz="1"/>
              <w:bottom w:val="single" w:color="999999" w:sz="1"/>
              <w:right w:val="single" w:color="999999" w:sz="1"/>
            </w:tcBorders>
            <w:shd w:fill="F2F2F2" w:val="clear"/>
            <w:tcMar>
              <w:top w:type="dxa" w:w="50"/>
              <w:left w:type="dxa" w:w="100"/>
              <w:bottom w:type="dxa" w:w="50"/>
              <w:right w:type="dxa" w:w="100"/>
            </w:tcMar>
          </w:tcPr>
          <w:p/>
        </w:tc>
      </w:tr>
    </w:tbl>
    <w:p>
      <w:pPr>
        <w:spacing w:after="60" w:before="300"/>
      </w:pPr>
    </w:p>
    <w:p>
      <w:pPr>
        <w:spacing w:after="60" w:before="100"/>
      </w:pPr>
      <w:r>
        <w:rPr>
          <w:rFonts w:ascii="Calibri" w:cs="Calibri" w:eastAsia="Calibri" w:hAnsi="Calibri"/>
          <w:b/>
          <w:bCs/>
          <w:color w:val="999999"/>
          <w:sz w:val="16"/>
          <w:szCs w:val="16"/>
        </w:rPr>
        <w:t xml:space="preserve">DISCLAIMER: </w:t>
      </w:r>
      <w:r>
        <w:rPr>
          <w:rFonts w:ascii="Calibri" w:cs="Calibri" w:eastAsia="Calibri" w:hAnsi="Calibri"/>
          <w:i/>
          <w:iCs/>
          <w:color w:val="999999"/>
          <w:sz w:val="16"/>
          <w:szCs w:val="16"/>
        </w:rPr>
        <w:t xml:space="preserve">This JHA template is provided as a starting point for site-specific hazard analysis. It must be reviewed and customized by a competent person familiar with the specific project conditions. Forbes Safety Solutions is not liable for misuse or failure to adapt this template to actual site conditions. Always consult current OSHA regulations and site-specific safety plans.</w:t>
      </w:r>
    </w:p>
    <w:sectPr>
      <w:headerReference w:type="default" r:id="rId7"/>
      <w:footerReference w:type="default" r:id="rId8"/>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before="80"/>
      <w:jc w:val="center"/>
    </w:pPr>
    <w:r>
      <w:rPr>
        <w:rFonts w:ascii="Calibri" w:cs="Calibri" w:eastAsia="Calibri" w:hAnsi="Calibri"/>
        <w:b/>
        <w:bCs/>
        <w:color w:val="1B2A4A"/>
        <w:sz w:val="16"/>
        <w:szCs w:val="16"/>
      </w:rPr>
      <w:t xml:space="preserve">Forbes Safety Solutions</w:t>
    </w:r>
    <w:r>
      <w:rPr>
        <w:rFonts w:ascii="Calibri" w:cs="Calibri" w:eastAsia="Calibri" w:hAnsi="Calibri"/>
        <w:color w:val="999999"/>
        <w:sz w:val="16"/>
        <w:szCs w:val="16"/>
      </w:rPr>
      <w:t xml:space="preserve"> — OSHA-Compliant Safety Documentation</w:t>
    </w:r>
  </w:p>
  <w:p>
    <w:pPr>
      <w:jc w:val="center"/>
    </w:pPr>
    <w:r>
      <w:rPr>
        <w:rFonts w:ascii="Calibri" w:cs="Calibri" w:eastAsia="Calibri" w:hAnsi="Calibri"/>
        <w:color w:val="999999"/>
        <w:sz w:val="16"/>
        <w:szCs w:val="16"/>
      </w:rPr>
      <w:t xml:space="preserve">Page </w:t>
    </w:r>
    <w:r>
      <w:rPr>
        <w:rFonts w:ascii="Calibri" w:cs="Calibri" w:eastAsia="Calibri" w:hAnsi="Calibri"/>
        <w:color w:val="999999"/>
        <w:sz w:val="16"/>
        <w:szCs w:val="16"/>
      </w:rPr>
      <w:fldChar w:fldCharType="begin"/>
      <w:instrText xml:space="preserve">PAGE</w:instrText>
      <w:fldChar w:fldCharType="separate"/>
      <w:fldChar w:fldCharType="end"/>
    </w:r>
    <w:r>
      <w:rPr>
        <w:rFonts w:ascii="Calibri" w:cs="Calibri" w:eastAsia="Calibri" w:hAnsi="Calibri"/>
        <w:color w:val="999999"/>
        <w:sz w:val="16"/>
        <w:szCs w:val="16"/>
      </w:rPr>
      <w:t xml:space="preserve"> of </w:t>
    </w:r>
    <w:r>
      <w:rPr>
        <w:rFonts w:ascii="Calibri" w:cs="Calibri" w:eastAsia="Calibri" w:hAnsi="Calibri"/>
        <w:color w:val="999999"/>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i/>
        <w:iCs/>
        <w:color w:val="999999"/>
        <w:sz w:val="16"/>
        <w:szCs w:val="16"/>
      </w:rPr>
      <w:t xml:space="preserve">Demolition JHA — 29 CFR 1926 Subpart 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2026-03-15T22:52:01.902Z</dcterms:created>
  <dcterms:modified xsi:type="dcterms:W3CDTF">2026-03-15T22:52:01.902Z</dcterms:modified>
</cp:coreProperties>
</file>

<file path=docProps/custom.xml><?xml version="1.0" encoding="utf-8"?>
<Properties xmlns="http://schemas.openxmlformats.org/officeDocument/2006/custom-properties" xmlns:vt="http://schemas.openxmlformats.org/officeDocument/2006/docPropsVTypes"/>
</file>