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0" w:before="200"/>
        <w:jc w:val="center"/>
      </w:pPr>
      <w:r>
        <w:rPr>
          <w:rFonts w:ascii="Calibri" w:cs="Calibri" w:eastAsia="Calibri" w:hAnsi="Calibri"/>
          <w:b/>
          <w:bCs/>
          <w:color w:val="1B2A4A"/>
          <w:sz w:val="36"/>
          <w:szCs w:val="36"/>
        </w:rPr>
        <w:t xml:space="preserve">FORBES SAFETY SOLUTIONS</w:t>
      </w:r>
    </w:p>
    <w:p>
      <w:pPr>
        <w:spacing w:after="40" w:before="80"/>
        <w:jc w:val="center"/>
      </w:pPr>
      <w:r>
        <w:rPr>
          <w:rFonts w:ascii="Calibri" w:cs="Calibri" w:eastAsia="Calibri" w:hAnsi="Calibri"/>
          <w:b/>
          <w:bCs/>
          <w:color w:val="E8A838"/>
          <w:sz w:val="30"/>
          <w:szCs w:val="30"/>
        </w:rPr>
        <w:t xml:space="preserve">JOB HAZARD ANALYSIS</w:t>
      </w:r>
    </w:p>
    <w:p>
      <w:pPr>
        <w:spacing w:after="200" w:before="40"/>
        <w:jc w:val="center"/>
      </w:pPr>
      <w:r>
        <w:rPr>
          <w:rFonts w:ascii="Calibri" w:cs="Calibri" w:eastAsia="Calibri" w:hAnsi="Calibri"/>
          <w:b/>
          <w:bCs/>
          <w:color w:val="1B2A4A"/>
          <w:sz w:val="24"/>
          <w:szCs w:val="24"/>
        </w:rPr>
        <w:t xml:space="preserve">Mechanical Insulation / Pipe Wrapping</w:t>
      </w:r>
    </w:p>
    <w:p>
      <w:pPr>
        <w:spacing w:after="120" w:before="300"/>
      </w:pPr>
      <w:r>
        <w:rPr>
          <w:rFonts w:ascii="Calibri" w:cs="Calibri" w:eastAsia="Calibri" w:hAnsi="Calibri"/>
          <w:b/>
          <w:bCs/>
          <w:color w:val="1B2A4A"/>
          <w:sz w:val="26"/>
          <w:szCs w:val="26"/>
        </w:rPr>
        <w:t xml:space="preserve">REGULATORY REFERENCES</w:t>
      </w:r>
    </w:p>
    <w:p>
      <w:pPr>
        <w:spacing w:after="60" w:before="60"/>
      </w:pPr>
      <w:r>
        <w:rPr>
          <w:rFonts w:ascii="Calibri" w:cs="Calibri" w:eastAsia="Calibri" w:hAnsi="Calibri"/>
          <w:b w:val="false"/>
          <w:bCs w:val="false"/>
          <w:color w:val="000000"/>
          <w:sz w:val="20"/>
          <w:szCs w:val="20"/>
        </w:rPr>
        <w:t xml:space="preserve">• 29 CFR 1926.1101 — Asbestos (removal of existing insulation)</w:t>
      </w:r>
    </w:p>
    <w:p>
      <w:pPr>
        <w:spacing w:after="60" w:before="60"/>
      </w:pPr>
      <w:r>
        <w:rPr>
          <w:rFonts w:ascii="Calibri" w:cs="Calibri" w:eastAsia="Calibri" w:hAnsi="Calibri"/>
          <w:b w:val="false"/>
          <w:bCs w:val="false"/>
          <w:color w:val="000000"/>
          <w:sz w:val="20"/>
          <w:szCs w:val="20"/>
        </w:rPr>
        <w:t xml:space="preserve">• 29 CFR 1910.132 — General Requirements for PPE</w:t>
      </w:r>
    </w:p>
    <w:p>
      <w:pPr>
        <w:spacing w:after="60" w:before="60"/>
      </w:pPr>
      <w:r>
        <w:rPr>
          <w:rFonts w:ascii="Calibri" w:cs="Calibri" w:eastAsia="Calibri" w:hAnsi="Calibri"/>
          <w:b w:val="false"/>
          <w:bCs w:val="false"/>
          <w:color w:val="000000"/>
          <w:sz w:val="20"/>
          <w:szCs w:val="20"/>
        </w:rPr>
        <w:t xml:space="preserve">• 29 CFR 1926.451 — Scaffolding (General Requirements)</w:t>
      </w:r>
    </w:p>
    <w:p>
      <w:pPr>
        <w:spacing w:after="60" w:before="60"/>
      </w:pPr>
      <w:r>
        <w:rPr>
          <w:rFonts w:ascii="Calibri" w:cs="Calibri" w:eastAsia="Calibri" w:hAnsi="Calibri"/>
          <w:b w:val="false"/>
          <w:bCs w:val="false"/>
          <w:color w:val="000000"/>
          <w:sz w:val="20"/>
          <w:szCs w:val="20"/>
        </w:rPr>
        <w:t xml:space="preserve">• 29 CFR 1926.1053 — Ladders</w:t>
      </w:r>
    </w:p>
    <w:p>
      <w:pPr>
        <w:spacing w:after="60" w:before="60"/>
      </w:pPr>
      <w:r>
        <w:rPr>
          <w:rFonts w:ascii="Calibri" w:cs="Calibri" w:eastAsia="Calibri" w:hAnsi="Calibri"/>
          <w:b w:val="false"/>
          <w:bCs w:val="false"/>
          <w:color w:val="000000"/>
          <w:sz w:val="20"/>
          <w:szCs w:val="20"/>
        </w:rPr>
        <w:t xml:space="preserve">• 29 CFR 1910.1200 — Hazard Communication</w:t>
      </w:r>
    </w:p>
    <w:p>
      <w:pPr>
        <w:spacing w:after="60" w:before="60"/>
      </w:pPr>
      <w:r>
        <w:rPr>
          <w:rFonts w:ascii="Calibri" w:cs="Calibri" w:eastAsia="Calibri" w:hAnsi="Calibri"/>
          <w:b w:val="false"/>
          <w:bCs w:val="false"/>
          <w:color w:val="000000"/>
          <w:sz w:val="20"/>
          <w:szCs w:val="20"/>
        </w:rPr>
        <w:t xml:space="preserve">• EPA NESHAP 40 CFR 61, Subpart M — Asbestos</w:t>
      </w:r>
    </w:p>
    <w:p>
      <w:pPr>
        <w:spacing w:after="120" w:before="300"/>
      </w:pPr>
      <w:r>
        <w:rPr>
          <w:rFonts w:ascii="Calibri" w:cs="Calibri" w:eastAsia="Calibri" w:hAnsi="Calibri"/>
          <w:b/>
          <w:bCs/>
          <w:color w:val="1B2A4A"/>
          <w:sz w:val="26"/>
          <w:szCs w:val="26"/>
        </w:rPr>
        <w:t xml:space="preserve">SCOPE &amp; DESCRIPTION</w:t>
      </w:r>
    </w:p>
    <w:p>
      <w:pPr>
        <w:spacing w:after="60" w:before="60"/>
      </w:pPr>
      <w:r>
        <w:rPr>
          <w:rFonts w:ascii="Calibri" w:cs="Calibri" w:eastAsia="Calibri" w:hAnsi="Calibri"/>
          <w:b w:val="false"/>
          <w:bCs w:val="false"/>
          <w:color w:val="000000"/>
          <w:sz w:val="20"/>
          <w:szCs w:val="20"/>
        </w:rPr>
        <w:t xml:space="preserve">This JHA covers mechanical insulation and pipe wrapping operations including existing insulation assessment and removal (with asbestos identification), surface preparation, insulation cutting and fitting, metal jacketing and banding, sealing and finishing, and waste disposal. Legacy insulation may contain asbestos, requiring specialized abatement procedures. Workers face hazards from thermal burns on hot pipes, sharp tool injuries, ergonomic strain from overhead work, fiber inhalation, and falls from scaffolding or ladders.</w:t>
      </w:r>
    </w:p>
    <w:p>
      <w:pPr>
        <w:spacing w:after="120" w:before="300"/>
      </w:pPr>
      <w:r>
        <w:rPr>
          <w:rFonts w:ascii="Calibri" w:cs="Calibri" w:eastAsia="Calibri" w:hAnsi="Calibri"/>
          <w:b/>
          <w:bCs/>
          <w:color w:val="1B2A4A"/>
          <w:sz w:val="26"/>
          <w:szCs w:val="26"/>
        </w:rPr>
        <w:t xml:space="preserve">PROJECT INFORMATION</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340"/>
        <w:gridCol w:w="2340"/>
        <w:gridCol w:w="2340"/>
        <w:gridCol w:w="2340"/>
      </w:tblGrid>
      <w:tr>
        <w:tc>
          <w:tcPr>
            <w:tcW w:type="dxa" w:w="2340"/>
            <w:tcBorders>
              <w:top w:val="single" w:color="B0B0B0" w:sz="1"/>
              <w:left w:val="single" w:color="B0B0B0" w:sz="1"/>
              <w:bottom w:val="single" w:color="B0B0B0" w:sz="1"/>
              <w:right w:val="single" w:color="B0B0B0" w:sz="1"/>
            </w:tcBorders>
            <w:shd w:fill="F2F2F2" w:val="clear"/>
            <w:tcMar>
              <w:top w:type="dxa" w:w="50"/>
              <w:left w:type="dxa" w:w="80"/>
              <w:bottom w:type="dxa" w:w="50"/>
              <w:right w:type="dxa" w:w="80"/>
            </w:tcMar>
            <w:vAlign w:val="center"/>
          </w:tcPr>
          <w:p>
            <w:pPr>
              <w:spacing w:after="20" w:before="20"/>
              <w:jc w:val="left"/>
            </w:pPr>
            <w:r>
              <w:rPr>
                <w:rFonts w:ascii="Calibri" w:cs="Calibri" w:eastAsia="Calibri" w:hAnsi="Calibri"/>
                <w:b/>
                <w:bCs/>
                <w:color w:val="000000"/>
                <w:sz w:val="20"/>
                <w:szCs w:val="20"/>
              </w:rPr>
              <w:t xml:space="preserve">Project Name:</w:t>
            </w:r>
          </w:p>
        </w:tc>
        <w:tc>
          <w:tcPr>
            <w:tcW w:type="dxa" w:w="234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2340"/>
            <w:tcBorders>
              <w:top w:val="single" w:color="B0B0B0" w:sz="1"/>
              <w:left w:val="single" w:color="B0B0B0" w:sz="1"/>
              <w:bottom w:val="single" w:color="B0B0B0" w:sz="1"/>
              <w:right w:val="single" w:color="B0B0B0" w:sz="1"/>
            </w:tcBorders>
            <w:shd w:fill="F2F2F2" w:val="clear"/>
            <w:tcMar>
              <w:top w:type="dxa" w:w="50"/>
              <w:left w:type="dxa" w:w="80"/>
              <w:bottom w:type="dxa" w:w="50"/>
              <w:right w:type="dxa" w:w="80"/>
            </w:tcMar>
            <w:vAlign w:val="center"/>
          </w:tcPr>
          <w:p>
            <w:pPr>
              <w:spacing w:after="20" w:before="20"/>
              <w:jc w:val="left"/>
            </w:pPr>
            <w:r>
              <w:rPr>
                <w:rFonts w:ascii="Calibri" w:cs="Calibri" w:eastAsia="Calibri" w:hAnsi="Calibri"/>
                <w:b/>
                <w:bCs/>
                <w:color w:val="000000"/>
                <w:sz w:val="20"/>
                <w:szCs w:val="20"/>
              </w:rPr>
              <w:t xml:space="preserve">Date:</w:t>
            </w:r>
          </w:p>
        </w:tc>
        <w:tc>
          <w:tcPr>
            <w:tcW w:type="dxa" w:w="234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r>
      <w:tr>
        <w:tc>
          <w:tcPr>
            <w:tcW w:type="dxa" w:w="2340"/>
            <w:tcBorders>
              <w:top w:val="single" w:color="B0B0B0" w:sz="1"/>
              <w:left w:val="single" w:color="B0B0B0" w:sz="1"/>
              <w:bottom w:val="single" w:color="B0B0B0" w:sz="1"/>
              <w:right w:val="single" w:color="B0B0B0" w:sz="1"/>
            </w:tcBorders>
            <w:shd w:fill="F2F2F2" w:val="clear"/>
            <w:tcMar>
              <w:top w:type="dxa" w:w="50"/>
              <w:left w:type="dxa" w:w="80"/>
              <w:bottom w:type="dxa" w:w="50"/>
              <w:right w:type="dxa" w:w="80"/>
            </w:tcMar>
            <w:vAlign w:val="center"/>
          </w:tcPr>
          <w:p>
            <w:pPr>
              <w:spacing w:after="20" w:before="20"/>
              <w:jc w:val="left"/>
            </w:pPr>
            <w:r>
              <w:rPr>
                <w:rFonts w:ascii="Calibri" w:cs="Calibri" w:eastAsia="Calibri" w:hAnsi="Calibri"/>
                <w:b/>
                <w:bCs/>
                <w:color w:val="000000"/>
                <w:sz w:val="20"/>
                <w:szCs w:val="20"/>
              </w:rPr>
              <w:t xml:space="preserve">Project Number:</w:t>
            </w:r>
          </w:p>
        </w:tc>
        <w:tc>
          <w:tcPr>
            <w:tcW w:type="dxa" w:w="234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2340"/>
            <w:tcBorders>
              <w:top w:val="single" w:color="B0B0B0" w:sz="1"/>
              <w:left w:val="single" w:color="B0B0B0" w:sz="1"/>
              <w:bottom w:val="single" w:color="B0B0B0" w:sz="1"/>
              <w:right w:val="single" w:color="B0B0B0" w:sz="1"/>
            </w:tcBorders>
            <w:shd w:fill="F2F2F2" w:val="clear"/>
            <w:tcMar>
              <w:top w:type="dxa" w:w="50"/>
              <w:left w:type="dxa" w:w="80"/>
              <w:bottom w:type="dxa" w:w="50"/>
              <w:right w:type="dxa" w:w="80"/>
            </w:tcMar>
            <w:vAlign w:val="center"/>
          </w:tcPr>
          <w:p>
            <w:pPr>
              <w:spacing w:after="20" w:before="20"/>
              <w:jc w:val="left"/>
            </w:pPr>
            <w:r>
              <w:rPr>
                <w:rFonts w:ascii="Calibri" w:cs="Calibri" w:eastAsia="Calibri" w:hAnsi="Calibri"/>
                <w:b/>
                <w:bCs/>
                <w:color w:val="000000"/>
                <w:sz w:val="20"/>
                <w:szCs w:val="20"/>
              </w:rPr>
              <w:t xml:space="preserve">Location:</w:t>
            </w:r>
          </w:p>
        </w:tc>
        <w:tc>
          <w:tcPr>
            <w:tcW w:type="dxa" w:w="234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r>
      <w:tr>
        <w:tc>
          <w:tcPr>
            <w:tcW w:type="dxa" w:w="2340"/>
            <w:tcBorders>
              <w:top w:val="single" w:color="B0B0B0" w:sz="1"/>
              <w:left w:val="single" w:color="B0B0B0" w:sz="1"/>
              <w:bottom w:val="single" w:color="B0B0B0" w:sz="1"/>
              <w:right w:val="single" w:color="B0B0B0" w:sz="1"/>
            </w:tcBorders>
            <w:shd w:fill="F2F2F2" w:val="clear"/>
            <w:tcMar>
              <w:top w:type="dxa" w:w="50"/>
              <w:left w:type="dxa" w:w="80"/>
              <w:bottom w:type="dxa" w:w="50"/>
              <w:right w:type="dxa" w:w="80"/>
            </w:tcMar>
            <w:vAlign w:val="center"/>
          </w:tcPr>
          <w:p>
            <w:pPr>
              <w:spacing w:after="20" w:before="20"/>
              <w:jc w:val="left"/>
            </w:pPr>
            <w:r>
              <w:rPr>
                <w:rFonts w:ascii="Calibri" w:cs="Calibri" w:eastAsia="Calibri" w:hAnsi="Calibri"/>
                <w:b/>
                <w:bCs/>
                <w:color w:val="000000"/>
                <w:sz w:val="20"/>
                <w:szCs w:val="20"/>
              </w:rPr>
              <w:t xml:space="preserve">Contractor:</w:t>
            </w:r>
          </w:p>
        </w:tc>
        <w:tc>
          <w:tcPr>
            <w:tcW w:type="dxa" w:w="234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2340"/>
            <w:tcBorders>
              <w:top w:val="single" w:color="B0B0B0" w:sz="1"/>
              <w:left w:val="single" w:color="B0B0B0" w:sz="1"/>
              <w:bottom w:val="single" w:color="B0B0B0" w:sz="1"/>
              <w:right w:val="single" w:color="B0B0B0" w:sz="1"/>
            </w:tcBorders>
            <w:shd w:fill="F2F2F2" w:val="clear"/>
            <w:tcMar>
              <w:top w:type="dxa" w:w="50"/>
              <w:left w:type="dxa" w:w="80"/>
              <w:bottom w:type="dxa" w:w="50"/>
              <w:right w:type="dxa" w:w="80"/>
            </w:tcMar>
            <w:vAlign w:val="center"/>
          </w:tcPr>
          <w:p>
            <w:pPr>
              <w:spacing w:after="20" w:before="20"/>
              <w:jc w:val="left"/>
            </w:pPr>
            <w:r>
              <w:rPr>
                <w:rFonts w:ascii="Calibri" w:cs="Calibri" w:eastAsia="Calibri" w:hAnsi="Calibri"/>
                <w:b/>
                <w:bCs/>
                <w:color w:val="000000"/>
                <w:sz w:val="20"/>
                <w:szCs w:val="20"/>
              </w:rPr>
              <w:t xml:space="preserve">Supervisor:</w:t>
            </w:r>
          </w:p>
        </w:tc>
        <w:tc>
          <w:tcPr>
            <w:tcW w:type="dxa" w:w="234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r>
      <w:tr>
        <w:tc>
          <w:tcPr>
            <w:tcW w:type="dxa" w:w="2340"/>
            <w:tcBorders>
              <w:top w:val="single" w:color="B0B0B0" w:sz="1"/>
              <w:left w:val="single" w:color="B0B0B0" w:sz="1"/>
              <w:bottom w:val="single" w:color="B0B0B0" w:sz="1"/>
              <w:right w:val="single" w:color="B0B0B0" w:sz="1"/>
            </w:tcBorders>
            <w:shd w:fill="F2F2F2" w:val="clear"/>
            <w:tcMar>
              <w:top w:type="dxa" w:w="50"/>
              <w:left w:type="dxa" w:w="80"/>
              <w:bottom w:type="dxa" w:w="50"/>
              <w:right w:type="dxa" w:w="80"/>
            </w:tcMar>
            <w:vAlign w:val="center"/>
          </w:tcPr>
          <w:p>
            <w:pPr>
              <w:spacing w:after="20" w:before="20"/>
              <w:jc w:val="left"/>
            </w:pPr>
            <w:r>
              <w:rPr>
                <w:rFonts w:ascii="Calibri" w:cs="Calibri" w:eastAsia="Calibri" w:hAnsi="Calibri"/>
                <w:b/>
                <w:bCs/>
                <w:color w:val="000000"/>
                <w:sz w:val="20"/>
                <w:szCs w:val="20"/>
              </w:rPr>
              <w:t xml:space="preserve">JHA Prepared By:</w:t>
            </w:r>
          </w:p>
        </w:tc>
        <w:tc>
          <w:tcPr>
            <w:tcW w:type="dxa" w:w="234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2340"/>
            <w:tcBorders>
              <w:top w:val="single" w:color="B0B0B0" w:sz="1"/>
              <w:left w:val="single" w:color="B0B0B0" w:sz="1"/>
              <w:bottom w:val="single" w:color="B0B0B0" w:sz="1"/>
              <w:right w:val="single" w:color="B0B0B0" w:sz="1"/>
            </w:tcBorders>
            <w:shd w:fill="F2F2F2" w:val="clear"/>
            <w:tcMar>
              <w:top w:type="dxa" w:w="50"/>
              <w:left w:type="dxa" w:w="80"/>
              <w:bottom w:type="dxa" w:w="50"/>
              <w:right w:type="dxa" w:w="80"/>
            </w:tcMar>
            <w:vAlign w:val="center"/>
          </w:tcPr>
          <w:p>
            <w:pPr>
              <w:spacing w:after="20" w:before="20"/>
              <w:jc w:val="left"/>
            </w:pPr>
            <w:r>
              <w:rPr>
                <w:rFonts w:ascii="Calibri" w:cs="Calibri" w:eastAsia="Calibri" w:hAnsi="Calibri"/>
                <w:b/>
                <w:bCs/>
                <w:color w:val="000000"/>
                <w:sz w:val="20"/>
                <w:szCs w:val="20"/>
              </w:rPr>
              <w:t xml:space="preserve">Reviewed By:</w:t>
            </w:r>
          </w:p>
        </w:tc>
        <w:tc>
          <w:tcPr>
            <w:tcW w:type="dxa" w:w="234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r>
    </w:tbl>
    <w:p>
      <w:r>
        <w:br w:type="page"/>
      </w:r>
    </w:p>
    <w:p>
      <w:pPr>
        <w:spacing w:after="120" w:before="300"/>
      </w:pPr>
      <w:r>
        <w:rPr>
          <w:rFonts w:ascii="Calibri" w:cs="Calibri" w:eastAsia="Calibri" w:hAnsi="Calibri"/>
          <w:b/>
          <w:bCs/>
          <w:color w:val="1B2A4A"/>
          <w:sz w:val="26"/>
          <w:szCs w:val="26"/>
        </w:rPr>
        <w:t xml:space="preserve">JOB HAZARD ANALYSIS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200"/>
        <w:gridCol w:w="2200"/>
        <w:gridCol w:w="900"/>
        <w:gridCol w:w="4060"/>
      </w:tblGrid>
      <w:tr>
        <w:trPr>
          <w:tblHeader/>
        </w:trPr>
        <w:tc>
          <w:tcPr>
            <w:tcW w:type="dxa" w:w="2200"/>
            <w:tcBorders>
              <w:top w:val="single" w:color="B0B0B0" w:sz="1"/>
              <w:left w:val="single" w:color="B0B0B0" w:sz="1"/>
              <w:bottom w:val="single" w:color="B0B0B0" w:sz="1"/>
              <w:right w:val="single" w:color="B0B0B0" w:sz="1"/>
            </w:tcBorders>
            <w:shd w:fill="1B2A4A" w:val="clear"/>
            <w:tcMar>
              <w:top w:type="dxa" w:w="50"/>
              <w:left w:type="dxa" w:w="80"/>
              <w:bottom w:type="dxa" w:w="50"/>
              <w:right w:type="dxa" w:w="80"/>
            </w:tcMar>
            <w:vAlign w:val="center"/>
          </w:tcPr>
          <w:p>
            <w:pPr>
              <w:spacing w:after="20" w:before="20"/>
              <w:jc w:val="center"/>
            </w:pPr>
            <w:r>
              <w:rPr>
                <w:rFonts w:ascii="Calibri" w:cs="Calibri" w:eastAsia="Calibri" w:hAnsi="Calibri"/>
                <w:b/>
                <w:bCs/>
                <w:color w:val="FFFFFF"/>
                <w:sz w:val="20"/>
                <w:szCs w:val="20"/>
              </w:rPr>
              <w:t xml:space="preserve">Task Step</w:t>
            </w:r>
          </w:p>
        </w:tc>
        <w:tc>
          <w:tcPr>
            <w:tcW w:type="dxa" w:w="2200"/>
            <w:tcBorders>
              <w:top w:val="single" w:color="B0B0B0" w:sz="1"/>
              <w:left w:val="single" w:color="B0B0B0" w:sz="1"/>
              <w:bottom w:val="single" w:color="B0B0B0" w:sz="1"/>
              <w:right w:val="single" w:color="B0B0B0" w:sz="1"/>
            </w:tcBorders>
            <w:shd w:fill="1B2A4A" w:val="clear"/>
            <w:tcMar>
              <w:top w:type="dxa" w:w="50"/>
              <w:left w:type="dxa" w:w="80"/>
              <w:bottom w:type="dxa" w:w="50"/>
              <w:right w:type="dxa" w:w="80"/>
            </w:tcMar>
            <w:vAlign w:val="center"/>
          </w:tcPr>
          <w:p>
            <w:pPr>
              <w:spacing w:after="20" w:before="20"/>
              <w:jc w:val="center"/>
            </w:pPr>
            <w:r>
              <w:rPr>
                <w:rFonts w:ascii="Calibri" w:cs="Calibri" w:eastAsia="Calibri" w:hAnsi="Calibri"/>
                <w:b/>
                <w:bCs/>
                <w:color w:val="FFFFFF"/>
                <w:sz w:val="20"/>
                <w:szCs w:val="20"/>
              </w:rPr>
              <w:t xml:space="preserve">Hazard</w:t>
            </w:r>
          </w:p>
        </w:tc>
        <w:tc>
          <w:tcPr>
            <w:tcW w:type="dxa" w:w="900"/>
            <w:tcBorders>
              <w:top w:val="single" w:color="B0B0B0" w:sz="1"/>
              <w:left w:val="single" w:color="B0B0B0" w:sz="1"/>
              <w:bottom w:val="single" w:color="B0B0B0" w:sz="1"/>
              <w:right w:val="single" w:color="B0B0B0" w:sz="1"/>
            </w:tcBorders>
            <w:shd w:fill="1B2A4A" w:val="clear"/>
            <w:tcMar>
              <w:top w:type="dxa" w:w="50"/>
              <w:left w:type="dxa" w:w="80"/>
              <w:bottom w:type="dxa" w:w="50"/>
              <w:right w:type="dxa" w:w="80"/>
            </w:tcMar>
            <w:vAlign w:val="center"/>
          </w:tcPr>
          <w:p>
            <w:pPr>
              <w:spacing w:after="20" w:before="20"/>
              <w:jc w:val="center"/>
            </w:pPr>
            <w:r>
              <w:rPr>
                <w:rFonts w:ascii="Calibri" w:cs="Calibri" w:eastAsia="Calibri" w:hAnsi="Calibri"/>
                <w:b/>
                <w:bCs/>
                <w:color w:val="FFFFFF"/>
                <w:sz w:val="20"/>
                <w:szCs w:val="20"/>
              </w:rPr>
              <w:t xml:space="preserve">Risk Level
(H/M/L)</w:t>
            </w:r>
          </w:p>
        </w:tc>
        <w:tc>
          <w:tcPr>
            <w:tcW w:type="dxa" w:w="4060"/>
            <w:tcBorders>
              <w:top w:val="single" w:color="B0B0B0" w:sz="1"/>
              <w:left w:val="single" w:color="B0B0B0" w:sz="1"/>
              <w:bottom w:val="single" w:color="B0B0B0" w:sz="1"/>
              <w:right w:val="single" w:color="B0B0B0" w:sz="1"/>
            </w:tcBorders>
            <w:shd w:fill="1B2A4A" w:val="clear"/>
            <w:tcMar>
              <w:top w:type="dxa" w:w="50"/>
              <w:left w:type="dxa" w:w="80"/>
              <w:bottom w:type="dxa" w:w="50"/>
              <w:right w:type="dxa" w:w="80"/>
            </w:tcMar>
            <w:vAlign w:val="center"/>
          </w:tcPr>
          <w:p>
            <w:pPr>
              <w:spacing w:after="20" w:before="20"/>
              <w:jc w:val="center"/>
            </w:pPr>
            <w:r>
              <w:rPr>
                <w:rFonts w:ascii="Calibri" w:cs="Calibri" w:eastAsia="Calibri" w:hAnsi="Calibri"/>
                <w:b/>
                <w:bCs/>
                <w:color w:val="FFFFFF"/>
                <w:sz w:val="20"/>
                <w:szCs w:val="20"/>
              </w:rPr>
              <w:t xml:space="preserve">Control Measures</w:t>
            </w:r>
          </w:p>
        </w:tc>
      </w:tr>
      <w:tr>
        <w:tc>
          <w:tcPr>
            <w:tcW w:type="dxa" w:w="2200"/>
            <w:tcBorders>
              <w:top w:val="single" w:color="B0B0B0" w:sz="1"/>
              <w:left w:val="single" w:color="B0B0B0" w:sz="1"/>
              <w:bottom w:val="single" w:color="B0B0B0" w:sz="1"/>
              <w:right w:val="single" w:color="B0B0B0" w:sz="1"/>
            </w:tcBorders>
            <w:tcMar>
              <w:top w:type="dxa" w:w="50"/>
              <w:left w:type="dxa" w:w="80"/>
              <w:bottom w:type="dxa" w:w="50"/>
              <w:right w:type="dxa" w:w="80"/>
            </w:tcMar>
            <w:vAlign w:val="top"/>
          </w:tcPr>
          <w:p>
            <w:pPr>
              <w:spacing w:after="10" w:before="10"/>
            </w:pPr>
            <w:r>
              <w:rPr>
                <w:rFonts w:ascii="Calibri" w:cs="Calibri" w:eastAsia="Calibri" w:hAnsi="Calibri"/>
                <w:b w:val="false"/>
                <w:bCs w:val="false"/>
                <w:color w:val="000000"/>
                <w:sz w:val="19"/>
                <w:szCs w:val="19"/>
              </w:rPr>
              <w:t xml:space="preserve">1. Existing Insulation Assessment / Removal</w:t>
            </w:r>
          </w:p>
        </w:tc>
        <w:tc>
          <w:tcPr>
            <w:tcW w:type="dxa" w:w="2200"/>
            <w:tcBorders>
              <w:top w:val="single" w:color="B0B0B0" w:sz="1"/>
              <w:left w:val="single" w:color="B0B0B0" w:sz="1"/>
              <w:bottom w:val="single" w:color="B0B0B0" w:sz="1"/>
              <w:right w:val="single" w:color="B0B0B0" w:sz="1"/>
            </w:tcBorders>
            <w:tcMar>
              <w:top w:type="dxa" w:w="50"/>
              <w:left w:type="dxa" w:w="80"/>
              <w:bottom w:type="dxa" w:w="50"/>
              <w:right w:type="dxa" w:w="80"/>
            </w:tcMar>
            <w:vAlign w:val="top"/>
          </w:tcPr>
          <w:p>
            <w:pPr>
              <w:spacing w:after="10" w:before="10"/>
            </w:pPr>
            <w:r>
              <w:rPr>
                <w:rFonts w:ascii="Calibri" w:cs="Calibri" w:eastAsia="Calibri" w:hAnsi="Calibri"/>
                <w:b w:val="false"/>
                <w:bCs w:val="false"/>
                <w:color w:val="000000"/>
                <w:sz w:val="19"/>
                <w:szCs w:val="19"/>
              </w:rPr>
              <w:t xml:space="preserve">Asbestos exposure (friable ACM)</w:t>
            </w:r>
          </w:p>
          <w:p>
            <w:pPr>
              <w:spacing w:after="10" w:before="10"/>
            </w:pPr>
            <w:r>
              <w:rPr>
                <w:rFonts w:ascii="Calibri" w:cs="Calibri" w:eastAsia="Calibri" w:hAnsi="Calibri"/>
                <w:b w:val="false"/>
                <w:bCs w:val="false"/>
                <w:color w:val="000000"/>
                <w:sz w:val="19"/>
                <w:szCs w:val="19"/>
              </w:rPr>
              <w:t xml:space="preserve">Other hazardous fibers (refractory ceramic)</w:t>
            </w:r>
          </w:p>
          <w:p>
            <w:pPr>
              <w:spacing w:after="10" w:before="10"/>
            </w:pPr>
            <w:r>
              <w:rPr>
                <w:rFonts w:ascii="Calibri" w:cs="Calibri" w:eastAsia="Calibri" w:hAnsi="Calibri"/>
                <w:b w:val="false"/>
                <w:bCs w:val="false"/>
                <w:color w:val="000000"/>
                <w:sz w:val="19"/>
                <w:szCs w:val="19"/>
              </w:rPr>
              <w:t xml:space="preserve">Falls from scaffolding/ladders</w:t>
            </w:r>
          </w:p>
          <w:p>
            <w:pPr>
              <w:spacing w:after="10" w:before="10"/>
            </w:pPr>
            <w:r>
              <w:rPr>
                <w:rFonts w:ascii="Calibri" w:cs="Calibri" w:eastAsia="Calibri" w:hAnsi="Calibri"/>
                <w:b w:val="false"/>
                <w:bCs w:val="false"/>
                <w:color w:val="000000"/>
                <w:sz w:val="19"/>
                <w:szCs w:val="19"/>
              </w:rPr>
              <w:t xml:space="preserve">Cuts from removal tools</w:t>
            </w:r>
          </w:p>
        </w:tc>
        <w:tc>
          <w:tcPr>
            <w:tcW w:type="dxa" w:w="900"/>
            <w:tcBorders>
              <w:top w:val="single" w:color="B0B0B0" w:sz="1"/>
              <w:left w:val="single" w:color="B0B0B0" w:sz="1"/>
              <w:bottom w:val="single" w:color="B0B0B0" w:sz="1"/>
              <w:right w:val="single" w:color="B0B0B0" w:sz="1"/>
            </w:tcBorders>
            <w:shd w:fill="FADBD8" w:val="clear"/>
            <w:tcMar>
              <w:top w:type="dxa" w:w="50"/>
              <w:left w:type="dxa" w:w="80"/>
              <w:bottom w:type="dxa" w:w="50"/>
              <w:right w:type="dxa" w:w="80"/>
            </w:tcMar>
            <w:vAlign w:val="center"/>
          </w:tcPr>
          <w:p>
            <w:pPr>
              <w:spacing w:after="20" w:before="20"/>
              <w:jc w:val="center"/>
            </w:pPr>
            <w:r>
              <w:rPr>
                <w:rFonts w:ascii="Calibri" w:cs="Calibri" w:eastAsia="Calibri" w:hAnsi="Calibri"/>
                <w:b w:val="false"/>
                <w:bCs w:val="false"/>
                <w:color w:val="000000"/>
                <w:sz w:val="19"/>
                <w:szCs w:val="19"/>
              </w:rPr>
              <w:t xml:space="preserve">H</w:t>
            </w:r>
          </w:p>
        </w:tc>
        <w:tc>
          <w:tcPr>
            <w:tcW w:type="dxa" w:w="4060"/>
            <w:tcBorders>
              <w:top w:val="single" w:color="B0B0B0" w:sz="1"/>
              <w:left w:val="single" w:color="B0B0B0" w:sz="1"/>
              <w:bottom w:val="single" w:color="B0B0B0" w:sz="1"/>
              <w:right w:val="single" w:color="B0B0B0" w:sz="1"/>
            </w:tcBorders>
            <w:tcMar>
              <w:top w:type="dxa" w:w="50"/>
              <w:left w:type="dxa" w:w="80"/>
              <w:bottom w:type="dxa" w:w="50"/>
              <w:right w:type="dxa" w:w="80"/>
            </w:tcMar>
            <w:vAlign w:val="top"/>
          </w:tcPr>
          <w:p>
            <w:pPr>
              <w:spacing w:after="10" w:before="10"/>
            </w:pPr>
            <w:r>
              <w:rPr>
                <w:rFonts w:ascii="Calibri" w:cs="Calibri" w:eastAsia="Calibri" w:hAnsi="Calibri"/>
                <w:b w:val="false"/>
                <w:bCs w:val="false"/>
                <w:color w:val="000000"/>
                <w:sz w:val="19"/>
                <w:szCs w:val="19"/>
              </w:rPr>
              <w:t xml:space="preserve">AHERA-accredited inspector must assess before any disturbance</w:t>
            </w:r>
          </w:p>
          <w:p>
            <w:pPr>
              <w:spacing w:after="10" w:before="10"/>
            </w:pPr>
            <w:r>
              <w:rPr>
                <w:rFonts w:ascii="Calibri" w:cs="Calibri" w:eastAsia="Calibri" w:hAnsi="Calibri"/>
                <w:b w:val="false"/>
                <w:bCs w:val="false"/>
                <w:color w:val="000000"/>
                <w:sz w:val="19"/>
                <w:szCs w:val="19"/>
              </w:rPr>
              <w:t xml:space="preserve">Assume ACM until lab analysis confirms otherwise (NESHAP)</w:t>
            </w:r>
          </w:p>
          <w:p>
            <w:pPr>
              <w:spacing w:after="10" w:before="10"/>
            </w:pPr>
            <w:r>
              <w:rPr>
                <w:rFonts w:ascii="Calibri" w:cs="Calibri" w:eastAsia="Calibri" w:hAnsi="Calibri"/>
                <w:b w:val="false"/>
                <w:bCs w:val="false"/>
                <w:color w:val="000000"/>
                <w:sz w:val="19"/>
                <w:szCs w:val="19"/>
              </w:rPr>
              <w:t xml:space="preserve">Licensed asbestos abatement contractor for confirmed ACM</w:t>
            </w:r>
          </w:p>
          <w:p>
            <w:pPr>
              <w:spacing w:after="10" w:before="10"/>
            </w:pPr>
            <w:r>
              <w:rPr>
                <w:rFonts w:ascii="Calibri" w:cs="Calibri" w:eastAsia="Calibri" w:hAnsi="Calibri"/>
                <w:b w:val="false"/>
                <w:bCs w:val="false"/>
                <w:color w:val="000000"/>
                <w:sz w:val="19"/>
                <w:szCs w:val="19"/>
              </w:rPr>
              <w:t xml:space="preserve">Full negative-pressure enclosure for friable ACM removal</w:t>
            </w:r>
          </w:p>
          <w:p>
            <w:pPr>
              <w:spacing w:after="10" w:before="10"/>
            </w:pPr>
            <w:r>
              <w:rPr>
                <w:rFonts w:ascii="Calibri" w:cs="Calibri" w:eastAsia="Calibri" w:hAnsi="Calibri"/>
                <w:b w:val="false"/>
                <w:bCs w:val="false"/>
                <w:color w:val="000000"/>
                <w:sz w:val="19"/>
                <w:szCs w:val="19"/>
              </w:rPr>
              <w:t xml:space="preserve">Workers in powered air-purifying respirators (PAPR)</w:t>
            </w:r>
          </w:p>
          <w:p>
            <w:pPr>
              <w:spacing w:after="10" w:before="10"/>
            </w:pPr>
            <w:r>
              <w:rPr>
                <w:rFonts w:ascii="Calibri" w:cs="Calibri" w:eastAsia="Calibri" w:hAnsi="Calibri"/>
                <w:b w:val="false"/>
                <w:bCs w:val="false"/>
                <w:color w:val="000000"/>
                <w:sz w:val="19"/>
                <w:szCs w:val="19"/>
              </w:rPr>
              <w:t xml:space="preserve">Disposable Tyvek suits, gloves, boot covers</w:t>
            </w:r>
          </w:p>
          <w:p>
            <w:pPr>
              <w:spacing w:after="10" w:before="10"/>
            </w:pPr>
            <w:r>
              <w:rPr>
                <w:rFonts w:ascii="Calibri" w:cs="Calibri" w:eastAsia="Calibri" w:hAnsi="Calibri"/>
                <w:b w:val="false"/>
                <w:bCs w:val="false"/>
                <w:color w:val="000000"/>
                <w:sz w:val="19"/>
                <w:szCs w:val="19"/>
              </w:rPr>
              <w:t xml:space="preserve">Wet removal methods to minimize fiber release</w:t>
            </w:r>
          </w:p>
          <w:p>
            <w:pPr>
              <w:spacing w:after="10" w:before="10"/>
            </w:pPr>
            <w:r>
              <w:rPr>
                <w:rFonts w:ascii="Calibri" w:cs="Calibri" w:eastAsia="Calibri" w:hAnsi="Calibri"/>
                <w:b w:val="false"/>
                <w:bCs w:val="false"/>
                <w:color w:val="000000"/>
                <w:sz w:val="19"/>
                <w:szCs w:val="19"/>
              </w:rPr>
              <w:t xml:space="preserve">Air monitoring during and after removal</w:t>
            </w:r>
          </w:p>
        </w:tc>
      </w:tr>
      <w:tr>
        <w:tc>
          <w:tcPr>
            <w:tcW w:type="dxa" w:w="2200"/>
            <w:tcBorders>
              <w:top w:val="single" w:color="B0B0B0" w:sz="1"/>
              <w:left w:val="single" w:color="B0B0B0" w:sz="1"/>
              <w:bottom w:val="single" w:color="B0B0B0" w:sz="1"/>
              <w:right w:val="single" w:color="B0B0B0" w:sz="1"/>
            </w:tcBorders>
            <w:tcMar>
              <w:top w:type="dxa" w:w="50"/>
              <w:left w:type="dxa" w:w="80"/>
              <w:bottom w:type="dxa" w:w="50"/>
              <w:right w:type="dxa" w:w="80"/>
            </w:tcMar>
            <w:vAlign w:val="top"/>
          </w:tcPr>
          <w:p>
            <w:pPr>
              <w:spacing w:after="10" w:before="10"/>
            </w:pPr>
            <w:r>
              <w:rPr>
                <w:rFonts w:ascii="Calibri" w:cs="Calibri" w:eastAsia="Calibri" w:hAnsi="Calibri"/>
                <w:b w:val="false"/>
                <w:bCs w:val="false"/>
                <w:color w:val="000000"/>
                <w:sz w:val="19"/>
                <w:szCs w:val="19"/>
              </w:rPr>
              <w:t xml:space="preserve">2. Surface Preparation</w:t>
            </w:r>
          </w:p>
        </w:tc>
        <w:tc>
          <w:tcPr>
            <w:tcW w:type="dxa" w:w="2200"/>
            <w:tcBorders>
              <w:top w:val="single" w:color="B0B0B0" w:sz="1"/>
              <w:left w:val="single" w:color="B0B0B0" w:sz="1"/>
              <w:bottom w:val="single" w:color="B0B0B0" w:sz="1"/>
              <w:right w:val="single" w:color="B0B0B0" w:sz="1"/>
            </w:tcBorders>
            <w:tcMar>
              <w:top w:type="dxa" w:w="50"/>
              <w:left w:type="dxa" w:w="80"/>
              <w:bottom w:type="dxa" w:w="50"/>
              <w:right w:type="dxa" w:w="80"/>
            </w:tcMar>
            <w:vAlign w:val="top"/>
          </w:tcPr>
          <w:p>
            <w:pPr>
              <w:spacing w:after="10" w:before="10"/>
            </w:pPr>
            <w:r>
              <w:rPr>
                <w:rFonts w:ascii="Calibri" w:cs="Calibri" w:eastAsia="Calibri" w:hAnsi="Calibri"/>
                <w:b w:val="false"/>
                <w:bCs w:val="false"/>
                <w:color w:val="000000"/>
                <w:sz w:val="19"/>
                <w:szCs w:val="19"/>
              </w:rPr>
              <w:t xml:space="preserve">Thermal burns from hot pipes/equipment</w:t>
            </w:r>
          </w:p>
          <w:p>
            <w:pPr>
              <w:spacing w:after="10" w:before="10"/>
            </w:pPr>
            <w:r>
              <w:rPr>
                <w:rFonts w:ascii="Calibri" w:cs="Calibri" w:eastAsia="Calibri" w:hAnsi="Calibri"/>
                <w:b w:val="false"/>
                <w:bCs w:val="false"/>
                <w:color w:val="000000"/>
                <w:sz w:val="19"/>
                <w:szCs w:val="19"/>
              </w:rPr>
              <w:t xml:space="preserve">Sharp edges on pipe supports/hangers</w:t>
            </w:r>
          </w:p>
          <w:p>
            <w:pPr>
              <w:spacing w:after="10" w:before="10"/>
            </w:pPr>
            <w:r>
              <w:rPr>
                <w:rFonts w:ascii="Calibri" w:cs="Calibri" w:eastAsia="Calibri" w:hAnsi="Calibri"/>
                <w:b w:val="false"/>
                <w:bCs w:val="false"/>
                <w:color w:val="000000"/>
                <w:sz w:val="19"/>
                <w:szCs w:val="19"/>
              </w:rPr>
              <w:t xml:space="preserve">Chemical exposure from cleaning solvents</w:t>
            </w:r>
          </w:p>
          <w:p>
            <w:pPr>
              <w:spacing w:after="10" w:before="10"/>
            </w:pPr>
            <w:r>
              <w:rPr>
                <w:rFonts w:ascii="Calibri" w:cs="Calibri" w:eastAsia="Calibri" w:hAnsi="Calibri"/>
                <w:b w:val="false"/>
                <w:bCs w:val="false"/>
                <w:color w:val="000000"/>
                <w:sz w:val="19"/>
                <w:szCs w:val="19"/>
              </w:rPr>
              <w:t xml:space="preserve">Residual asbestos fibers</w:t>
            </w:r>
          </w:p>
        </w:tc>
        <w:tc>
          <w:tcPr>
            <w:tcW w:type="dxa" w:w="900"/>
            <w:tcBorders>
              <w:top w:val="single" w:color="B0B0B0" w:sz="1"/>
              <w:left w:val="single" w:color="B0B0B0" w:sz="1"/>
              <w:bottom w:val="single" w:color="B0B0B0" w:sz="1"/>
              <w:right w:val="single" w:color="B0B0B0" w:sz="1"/>
            </w:tcBorders>
            <w:shd w:fill="FEF5E7" w:val="clear"/>
            <w:tcMar>
              <w:top w:type="dxa" w:w="50"/>
              <w:left w:type="dxa" w:w="80"/>
              <w:bottom w:type="dxa" w:w="50"/>
              <w:right w:type="dxa" w:w="80"/>
            </w:tcMar>
            <w:vAlign w:val="center"/>
          </w:tcPr>
          <w:p>
            <w:pPr>
              <w:spacing w:after="20" w:before="20"/>
              <w:jc w:val="center"/>
            </w:pPr>
            <w:r>
              <w:rPr>
                <w:rFonts w:ascii="Calibri" w:cs="Calibri" w:eastAsia="Calibri" w:hAnsi="Calibri"/>
                <w:b w:val="false"/>
                <w:bCs w:val="false"/>
                <w:color w:val="000000"/>
                <w:sz w:val="19"/>
                <w:szCs w:val="19"/>
              </w:rPr>
              <w:t xml:space="preserve">M</w:t>
            </w:r>
          </w:p>
        </w:tc>
        <w:tc>
          <w:tcPr>
            <w:tcW w:type="dxa" w:w="4060"/>
            <w:tcBorders>
              <w:top w:val="single" w:color="B0B0B0" w:sz="1"/>
              <w:left w:val="single" w:color="B0B0B0" w:sz="1"/>
              <w:bottom w:val="single" w:color="B0B0B0" w:sz="1"/>
              <w:right w:val="single" w:color="B0B0B0" w:sz="1"/>
            </w:tcBorders>
            <w:tcMar>
              <w:top w:type="dxa" w:w="50"/>
              <w:left w:type="dxa" w:w="80"/>
              <w:bottom w:type="dxa" w:w="50"/>
              <w:right w:type="dxa" w:w="80"/>
            </w:tcMar>
            <w:vAlign w:val="top"/>
          </w:tcPr>
          <w:p>
            <w:pPr>
              <w:spacing w:after="10" w:before="10"/>
            </w:pPr>
            <w:r>
              <w:rPr>
                <w:rFonts w:ascii="Calibri" w:cs="Calibri" w:eastAsia="Calibri" w:hAnsi="Calibri"/>
                <w:b w:val="false"/>
                <w:bCs w:val="false"/>
                <w:color w:val="000000"/>
                <w:sz w:val="19"/>
                <w:szCs w:val="19"/>
              </w:rPr>
              <w:t xml:space="preserve">Verify pipe/equipment temperature — lockout/tagout if feasible</w:t>
            </w:r>
          </w:p>
          <w:p>
            <w:pPr>
              <w:spacing w:after="10" w:before="10"/>
            </w:pPr>
            <w:r>
              <w:rPr>
                <w:rFonts w:ascii="Calibri" w:cs="Calibri" w:eastAsia="Calibri" w:hAnsi="Calibri"/>
                <w:b w:val="false"/>
                <w:bCs w:val="false"/>
                <w:color w:val="000000"/>
                <w:sz w:val="19"/>
                <w:szCs w:val="19"/>
              </w:rPr>
              <w:t xml:space="preserve">Heat-resistant gloves rated for pipe temperature</w:t>
            </w:r>
          </w:p>
          <w:p>
            <w:pPr>
              <w:spacing w:after="10" w:before="10"/>
            </w:pPr>
            <w:r>
              <w:rPr>
                <w:rFonts w:ascii="Calibri" w:cs="Calibri" w:eastAsia="Calibri" w:hAnsi="Calibri"/>
                <w:b w:val="false"/>
                <w:bCs w:val="false"/>
                <w:color w:val="000000"/>
                <w:sz w:val="19"/>
                <w:szCs w:val="19"/>
              </w:rPr>
              <w:t xml:space="preserve">Cut-resistant gloves for handling sharp metal</w:t>
            </w:r>
          </w:p>
          <w:p>
            <w:pPr>
              <w:spacing w:after="10" w:before="10"/>
            </w:pPr>
            <w:r>
              <w:rPr>
                <w:rFonts w:ascii="Calibri" w:cs="Calibri" w:eastAsia="Calibri" w:hAnsi="Calibri"/>
                <w:b w:val="false"/>
                <w:bCs w:val="false"/>
                <w:color w:val="000000"/>
                <w:sz w:val="19"/>
                <w:szCs w:val="19"/>
              </w:rPr>
              <w:t xml:space="preserve">Confirm asbestos clearance before surface prep begins</w:t>
            </w:r>
          </w:p>
          <w:p>
            <w:pPr>
              <w:spacing w:after="10" w:before="10"/>
            </w:pPr>
            <w:r>
              <w:rPr>
                <w:rFonts w:ascii="Calibri" w:cs="Calibri" w:eastAsia="Calibri" w:hAnsi="Calibri"/>
                <w:b w:val="false"/>
                <w:bCs w:val="false"/>
                <w:color w:val="000000"/>
                <w:sz w:val="19"/>
                <w:szCs w:val="19"/>
              </w:rPr>
              <w:t xml:space="preserve">Clean surfaces per insulation manufacturer specifications</w:t>
            </w:r>
          </w:p>
        </w:tc>
      </w:tr>
      <w:tr>
        <w:tc>
          <w:tcPr>
            <w:tcW w:type="dxa" w:w="2200"/>
            <w:tcBorders>
              <w:top w:val="single" w:color="B0B0B0" w:sz="1"/>
              <w:left w:val="single" w:color="B0B0B0" w:sz="1"/>
              <w:bottom w:val="single" w:color="B0B0B0" w:sz="1"/>
              <w:right w:val="single" w:color="B0B0B0" w:sz="1"/>
            </w:tcBorders>
            <w:tcMar>
              <w:top w:type="dxa" w:w="50"/>
              <w:left w:type="dxa" w:w="80"/>
              <w:bottom w:type="dxa" w:w="50"/>
              <w:right w:type="dxa" w:w="80"/>
            </w:tcMar>
            <w:vAlign w:val="top"/>
          </w:tcPr>
          <w:p>
            <w:pPr>
              <w:spacing w:after="10" w:before="10"/>
            </w:pPr>
            <w:r>
              <w:rPr>
                <w:rFonts w:ascii="Calibri" w:cs="Calibri" w:eastAsia="Calibri" w:hAnsi="Calibri"/>
                <w:b w:val="false"/>
                <w:bCs w:val="false"/>
                <w:color w:val="000000"/>
                <w:sz w:val="19"/>
                <w:szCs w:val="19"/>
              </w:rPr>
              <w:t xml:space="preserve">3. Insulation Cutting &amp; Fitting</w:t>
            </w:r>
          </w:p>
        </w:tc>
        <w:tc>
          <w:tcPr>
            <w:tcW w:type="dxa" w:w="2200"/>
            <w:tcBorders>
              <w:top w:val="single" w:color="B0B0B0" w:sz="1"/>
              <w:left w:val="single" w:color="B0B0B0" w:sz="1"/>
              <w:bottom w:val="single" w:color="B0B0B0" w:sz="1"/>
              <w:right w:val="single" w:color="B0B0B0" w:sz="1"/>
            </w:tcBorders>
            <w:tcMar>
              <w:top w:type="dxa" w:w="50"/>
              <w:left w:type="dxa" w:w="80"/>
              <w:bottom w:type="dxa" w:w="50"/>
              <w:right w:type="dxa" w:w="80"/>
            </w:tcMar>
            <w:vAlign w:val="top"/>
          </w:tcPr>
          <w:p>
            <w:pPr>
              <w:spacing w:after="10" w:before="10"/>
            </w:pPr>
            <w:r>
              <w:rPr>
                <w:rFonts w:ascii="Calibri" w:cs="Calibri" w:eastAsia="Calibri" w:hAnsi="Calibri"/>
                <w:b w:val="false"/>
                <w:bCs w:val="false"/>
                <w:color w:val="000000"/>
                <w:sz w:val="19"/>
                <w:szCs w:val="19"/>
              </w:rPr>
              <w:t xml:space="preserve">Knife/tool cuts (box cutters, insulation knives)</w:t>
            </w:r>
          </w:p>
          <w:p>
            <w:pPr>
              <w:spacing w:after="10" w:before="10"/>
            </w:pPr>
            <w:r>
              <w:rPr>
                <w:rFonts w:ascii="Calibri" w:cs="Calibri" w:eastAsia="Calibri" w:hAnsi="Calibri"/>
                <w:b w:val="false"/>
                <w:bCs w:val="false"/>
                <w:color w:val="000000"/>
                <w:sz w:val="19"/>
                <w:szCs w:val="19"/>
              </w:rPr>
              <w:t xml:space="preserve">Dust/fiber inhalation (fiberglass, mineral wool)</w:t>
            </w:r>
          </w:p>
          <w:p>
            <w:pPr>
              <w:spacing w:after="10" w:before="10"/>
            </w:pPr>
            <w:r>
              <w:rPr>
                <w:rFonts w:ascii="Calibri" w:cs="Calibri" w:eastAsia="Calibri" w:hAnsi="Calibri"/>
                <w:b w:val="false"/>
                <w:bCs w:val="false"/>
                <w:color w:val="000000"/>
                <w:sz w:val="19"/>
                <w:szCs w:val="19"/>
              </w:rPr>
              <w:t xml:space="preserve">Eye irritation from fibers</w:t>
            </w:r>
          </w:p>
          <w:p>
            <w:pPr>
              <w:spacing w:after="10" w:before="10"/>
            </w:pPr>
            <w:r>
              <w:rPr>
                <w:rFonts w:ascii="Calibri" w:cs="Calibri" w:eastAsia="Calibri" w:hAnsi="Calibri"/>
                <w:b w:val="false"/>
                <w:bCs w:val="false"/>
                <w:color w:val="000000"/>
                <w:sz w:val="19"/>
                <w:szCs w:val="19"/>
              </w:rPr>
              <w:t xml:space="preserve">Ergonomic strain — overhead/awkward positions</w:t>
            </w:r>
          </w:p>
        </w:tc>
        <w:tc>
          <w:tcPr>
            <w:tcW w:type="dxa" w:w="900"/>
            <w:tcBorders>
              <w:top w:val="single" w:color="B0B0B0" w:sz="1"/>
              <w:left w:val="single" w:color="B0B0B0" w:sz="1"/>
              <w:bottom w:val="single" w:color="B0B0B0" w:sz="1"/>
              <w:right w:val="single" w:color="B0B0B0" w:sz="1"/>
            </w:tcBorders>
            <w:shd w:fill="FEF5E7" w:val="clear"/>
            <w:tcMar>
              <w:top w:type="dxa" w:w="50"/>
              <w:left w:type="dxa" w:w="80"/>
              <w:bottom w:type="dxa" w:w="50"/>
              <w:right w:type="dxa" w:w="80"/>
            </w:tcMar>
            <w:vAlign w:val="center"/>
          </w:tcPr>
          <w:p>
            <w:pPr>
              <w:spacing w:after="20" w:before="20"/>
              <w:jc w:val="center"/>
            </w:pPr>
            <w:r>
              <w:rPr>
                <w:rFonts w:ascii="Calibri" w:cs="Calibri" w:eastAsia="Calibri" w:hAnsi="Calibri"/>
                <w:b w:val="false"/>
                <w:bCs w:val="false"/>
                <w:color w:val="000000"/>
                <w:sz w:val="19"/>
                <w:szCs w:val="19"/>
              </w:rPr>
              <w:t xml:space="preserve">M</w:t>
            </w:r>
          </w:p>
        </w:tc>
        <w:tc>
          <w:tcPr>
            <w:tcW w:type="dxa" w:w="4060"/>
            <w:tcBorders>
              <w:top w:val="single" w:color="B0B0B0" w:sz="1"/>
              <w:left w:val="single" w:color="B0B0B0" w:sz="1"/>
              <w:bottom w:val="single" w:color="B0B0B0" w:sz="1"/>
              <w:right w:val="single" w:color="B0B0B0" w:sz="1"/>
            </w:tcBorders>
            <w:tcMar>
              <w:top w:type="dxa" w:w="50"/>
              <w:left w:type="dxa" w:w="80"/>
              <w:bottom w:type="dxa" w:w="50"/>
              <w:right w:type="dxa" w:w="80"/>
            </w:tcMar>
            <w:vAlign w:val="top"/>
          </w:tcPr>
          <w:p>
            <w:pPr>
              <w:spacing w:after="10" w:before="10"/>
            </w:pPr>
            <w:r>
              <w:rPr>
                <w:rFonts w:ascii="Calibri" w:cs="Calibri" w:eastAsia="Calibri" w:hAnsi="Calibri"/>
                <w:b w:val="false"/>
                <w:bCs w:val="false"/>
                <w:color w:val="000000"/>
                <w:sz w:val="19"/>
                <w:szCs w:val="19"/>
              </w:rPr>
              <w:t xml:space="preserve">Use retractable safety knives; cut away from body</w:t>
            </w:r>
          </w:p>
          <w:p>
            <w:pPr>
              <w:spacing w:after="10" w:before="10"/>
            </w:pPr>
            <w:r>
              <w:rPr>
                <w:rFonts w:ascii="Calibri" w:cs="Calibri" w:eastAsia="Calibri" w:hAnsi="Calibri"/>
                <w:b w:val="false"/>
                <w:bCs w:val="false"/>
                <w:color w:val="000000"/>
                <w:sz w:val="19"/>
                <w:szCs w:val="19"/>
              </w:rPr>
              <w:t xml:space="preserve">Cut-resistant gloves mandatory</w:t>
            </w:r>
          </w:p>
          <w:p>
            <w:pPr>
              <w:spacing w:after="10" w:before="10"/>
            </w:pPr>
            <w:r>
              <w:rPr>
                <w:rFonts w:ascii="Calibri" w:cs="Calibri" w:eastAsia="Calibri" w:hAnsi="Calibri"/>
                <w:b w:val="false"/>
                <w:bCs w:val="false"/>
                <w:color w:val="000000"/>
                <w:sz w:val="19"/>
                <w:szCs w:val="19"/>
              </w:rPr>
              <w:t xml:space="preserve">N95 respirator minimum for fiberglass/mineral wool cutting</w:t>
            </w:r>
          </w:p>
          <w:p>
            <w:pPr>
              <w:spacing w:after="10" w:before="10"/>
            </w:pPr>
            <w:r>
              <w:rPr>
                <w:rFonts w:ascii="Calibri" w:cs="Calibri" w:eastAsia="Calibri" w:hAnsi="Calibri"/>
                <w:b w:val="false"/>
                <w:bCs w:val="false"/>
                <w:color w:val="000000"/>
                <w:sz w:val="19"/>
                <w:szCs w:val="19"/>
              </w:rPr>
              <w:t xml:space="preserve">Safety glasses or goggles — no contact lenses</w:t>
            </w:r>
          </w:p>
          <w:p>
            <w:pPr>
              <w:spacing w:after="10" w:before="10"/>
            </w:pPr>
            <w:r>
              <w:rPr>
                <w:rFonts w:ascii="Calibri" w:cs="Calibri" w:eastAsia="Calibri" w:hAnsi="Calibri"/>
                <w:b w:val="false"/>
                <w:bCs w:val="false"/>
                <w:color w:val="000000"/>
                <w:sz w:val="19"/>
                <w:szCs w:val="19"/>
              </w:rPr>
              <w:t xml:space="preserve">Long sleeves and pants to prevent skin irritation</w:t>
            </w:r>
          </w:p>
          <w:p>
            <w:pPr>
              <w:spacing w:after="10" w:before="10"/>
            </w:pPr>
            <w:r>
              <w:rPr>
                <w:rFonts w:ascii="Calibri" w:cs="Calibri" w:eastAsia="Calibri" w:hAnsi="Calibri"/>
                <w:b w:val="false"/>
                <w:bCs w:val="false"/>
                <w:color w:val="000000"/>
                <w:sz w:val="19"/>
                <w:szCs w:val="19"/>
              </w:rPr>
              <w:t xml:space="preserve">Rotate overhead work; use adjustable scaffolding to optimize height</w:t>
            </w:r>
          </w:p>
          <w:p>
            <w:pPr>
              <w:spacing w:after="10" w:before="10"/>
            </w:pPr>
            <w:r>
              <w:rPr>
                <w:rFonts w:ascii="Calibri" w:cs="Calibri" w:eastAsia="Calibri" w:hAnsi="Calibri"/>
                <w:b w:val="false"/>
                <w:bCs w:val="false"/>
                <w:color w:val="000000"/>
                <w:sz w:val="19"/>
                <w:szCs w:val="19"/>
              </w:rPr>
              <w:t xml:space="preserve">Pre-cut insulation at ground level when possible</w:t>
            </w:r>
          </w:p>
        </w:tc>
      </w:tr>
      <w:tr>
        <w:tc>
          <w:tcPr>
            <w:tcW w:type="dxa" w:w="2200"/>
            <w:tcBorders>
              <w:top w:val="single" w:color="B0B0B0" w:sz="1"/>
              <w:left w:val="single" w:color="B0B0B0" w:sz="1"/>
              <w:bottom w:val="single" w:color="B0B0B0" w:sz="1"/>
              <w:right w:val="single" w:color="B0B0B0" w:sz="1"/>
            </w:tcBorders>
            <w:tcMar>
              <w:top w:type="dxa" w:w="50"/>
              <w:left w:type="dxa" w:w="80"/>
              <w:bottom w:type="dxa" w:w="50"/>
              <w:right w:type="dxa" w:w="80"/>
            </w:tcMar>
            <w:vAlign w:val="top"/>
          </w:tcPr>
          <w:p>
            <w:pPr>
              <w:spacing w:after="10" w:before="10"/>
            </w:pPr>
            <w:r>
              <w:rPr>
                <w:rFonts w:ascii="Calibri" w:cs="Calibri" w:eastAsia="Calibri" w:hAnsi="Calibri"/>
                <w:b w:val="false"/>
                <w:bCs w:val="false"/>
                <w:color w:val="000000"/>
                <w:sz w:val="19"/>
                <w:szCs w:val="19"/>
              </w:rPr>
              <w:t xml:space="preserve">4. Jacketing / Banding</w:t>
            </w:r>
          </w:p>
        </w:tc>
        <w:tc>
          <w:tcPr>
            <w:tcW w:type="dxa" w:w="2200"/>
            <w:tcBorders>
              <w:top w:val="single" w:color="B0B0B0" w:sz="1"/>
              <w:left w:val="single" w:color="B0B0B0" w:sz="1"/>
              <w:bottom w:val="single" w:color="B0B0B0" w:sz="1"/>
              <w:right w:val="single" w:color="B0B0B0" w:sz="1"/>
            </w:tcBorders>
            <w:tcMar>
              <w:top w:type="dxa" w:w="50"/>
              <w:left w:type="dxa" w:w="80"/>
              <w:bottom w:type="dxa" w:w="50"/>
              <w:right w:type="dxa" w:w="80"/>
            </w:tcMar>
            <w:vAlign w:val="top"/>
          </w:tcPr>
          <w:p>
            <w:pPr>
              <w:spacing w:after="10" w:before="10"/>
            </w:pPr>
            <w:r>
              <w:rPr>
                <w:rFonts w:ascii="Calibri" w:cs="Calibri" w:eastAsia="Calibri" w:hAnsi="Calibri"/>
                <w:b w:val="false"/>
                <w:bCs w:val="false"/>
                <w:color w:val="000000"/>
                <w:sz w:val="19"/>
                <w:szCs w:val="19"/>
              </w:rPr>
              <w:t xml:space="preserve">Lacerations from sheet metal edges</w:t>
            </w:r>
          </w:p>
          <w:p>
            <w:pPr>
              <w:spacing w:after="10" w:before="10"/>
            </w:pPr>
            <w:r>
              <w:rPr>
                <w:rFonts w:ascii="Calibri" w:cs="Calibri" w:eastAsia="Calibri" w:hAnsi="Calibri"/>
                <w:b w:val="false"/>
                <w:bCs w:val="false"/>
                <w:color w:val="000000"/>
                <w:sz w:val="19"/>
                <w:szCs w:val="19"/>
              </w:rPr>
              <w:t xml:space="preserve">Pinch points during banding tool operation</w:t>
            </w:r>
          </w:p>
          <w:p>
            <w:pPr>
              <w:spacing w:after="10" w:before="10"/>
            </w:pPr>
            <w:r>
              <w:rPr>
                <w:rFonts w:ascii="Calibri" w:cs="Calibri" w:eastAsia="Calibri" w:hAnsi="Calibri"/>
                <w:b w:val="false"/>
                <w:bCs w:val="false"/>
                <w:color w:val="000000"/>
                <w:sz w:val="19"/>
                <w:szCs w:val="19"/>
              </w:rPr>
              <w:t xml:space="preserve">Falls from scaffolding</w:t>
            </w:r>
          </w:p>
          <w:p>
            <w:pPr>
              <w:spacing w:after="10" w:before="10"/>
            </w:pPr>
            <w:r>
              <w:rPr>
                <w:rFonts w:ascii="Calibri" w:cs="Calibri" w:eastAsia="Calibri" w:hAnsi="Calibri"/>
                <w:b w:val="false"/>
                <w:bCs w:val="false"/>
                <w:color w:val="000000"/>
                <w:sz w:val="19"/>
                <w:szCs w:val="19"/>
              </w:rPr>
              <w:t xml:space="preserve">Dropped tools/materials from height</w:t>
            </w:r>
          </w:p>
        </w:tc>
        <w:tc>
          <w:tcPr>
            <w:tcW w:type="dxa" w:w="900"/>
            <w:tcBorders>
              <w:top w:val="single" w:color="B0B0B0" w:sz="1"/>
              <w:left w:val="single" w:color="B0B0B0" w:sz="1"/>
              <w:bottom w:val="single" w:color="B0B0B0" w:sz="1"/>
              <w:right w:val="single" w:color="B0B0B0" w:sz="1"/>
            </w:tcBorders>
            <w:shd w:fill="FADBD8" w:val="clear"/>
            <w:tcMar>
              <w:top w:type="dxa" w:w="50"/>
              <w:left w:type="dxa" w:w="80"/>
              <w:bottom w:type="dxa" w:w="50"/>
              <w:right w:type="dxa" w:w="80"/>
            </w:tcMar>
            <w:vAlign w:val="center"/>
          </w:tcPr>
          <w:p>
            <w:pPr>
              <w:spacing w:after="20" w:before="20"/>
              <w:jc w:val="center"/>
            </w:pPr>
            <w:r>
              <w:rPr>
                <w:rFonts w:ascii="Calibri" w:cs="Calibri" w:eastAsia="Calibri" w:hAnsi="Calibri"/>
                <w:b w:val="false"/>
                <w:bCs w:val="false"/>
                <w:color w:val="000000"/>
                <w:sz w:val="19"/>
                <w:szCs w:val="19"/>
              </w:rPr>
              <w:t xml:space="preserve">H</w:t>
            </w:r>
          </w:p>
        </w:tc>
        <w:tc>
          <w:tcPr>
            <w:tcW w:type="dxa" w:w="4060"/>
            <w:tcBorders>
              <w:top w:val="single" w:color="B0B0B0" w:sz="1"/>
              <w:left w:val="single" w:color="B0B0B0" w:sz="1"/>
              <w:bottom w:val="single" w:color="B0B0B0" w:sz="1"/>
              <w:right w:val="single" w:color="B0B0B0" w:sz="1"/>
            </w:tcBorders>
            <w:tcMar>
              <w:top w:type="dxa" w:w="50"/>
              <w:left w:type="dxa" w:w="80"/>
              <w:bottom w:type="dxa" w:w="50"/>
              <w:right w:type="dxa" w:w="80"/>
            </w:tcMar>
            <w:vAlign w:val="top"/>
          </w:tcPr>
          <w:p>
            <w:pPr>
              <w:spacing w:after="10" w:before="10"/>
            </w:pPr>
            <w:r>
              <w:rPr>
                <w:rFonts w:ascii="Calibri" w:cs="Calibri" w:eastAsia="Calibri" w:hAnsi="Calibri"/>
                <w:b w:val="false"/>
                <w:bCs w:val="false"/>
                <w:color w:val="000000"/>
                <w:sz w:val="19"/>
                <w:szCs w:val="19"/>
              </w:rPr>
              <w:t xml:space="preserve">Cut-resistant gloves (ANSI A4 minimum) for metal handling</w:t>
            </w:r>
          </w:p>
          <w:p>
            <w:pPr>
              <w:spacing w:after="10" w:before="10"/>
            </w:pPr>
            <w:r>
              <w:rPr>
                <w:rFonts w:ascii="Calibri" w:cs="Calibri" w:eastAsia="Calibri" w:hAnsi="Calibri"/>
                <w:b w:val="false"/>
                <w:bCs w:val="false"/>
                <w:color w:val="000000"/>
                <w:sz w:val="19"/>
                <w:szCs w:val="19"/>
              </w:rPr>
              <w:t xml:space="preserve">Deburr all cut metal edges before installation</w:t>
            </w:r>
          </w:p>
          <w:p>
            <w:pPr>
              <w:spacing w:after="10" w:before="10"/>
            </w:pPr>
            <w:r>
              <w:rPr>
                <w:rFonts w:ascii="Calibri" w:cs="Calibri" w:eastAsia="Calibri" w:hAnsi="Calibri"/>
                <w:b w:val="false"/>
                <w:bCs w:val="false"/>
                <w:color w:val="000000"/>
                <w:sz w:val="19"/>
                <w:szCs w:val="19"/>
              </w:rPr>
              <w:t xml:space="preserve">Banding tool training required — keep hands clear of tensioner</w:t>
            </w:r>
          </w:p>
          <w:p>
            <w:pPr>
              <w:spacing w:after="10" w:before="10"/>
            </w:pPr>
            <w:r>
              <w:rPr>
                <w:rFonts w:ascii="Calibri" w:cs="Calibri" w:eastAsia="Calibri" w:hAnsi="Calibri"/>
                <w:b w:val="false"/>
                <w:bCs w:val="false"/>
                <w:color w:val="000000"/>
                <w:sz w:val="19"/>
                <w:szCs w:val="19"/>
              </w:rPr>
              <w:t xml:space="preserve">100% tie-off on scaffolding above 6 ft</w:t>
            </w:r>
          </w:p>
          <w:p>
            <w:pPr>
              <w:spacing w:after="10" w:before="10"/>
            </w:pPr>
            <w:r>
              <w:rPr>
                <w:rFonts w:ascii="Calibri" w:cs="Calibri" w:eastAsia="Calibri" w:hAnsi="Calibri"/>
                <w:b w:val="false"/>
                <w:bCs w:val="false"/>
                <w:color w:val="000000"/>
                <w:sz w:val="19"/>
                <w:szCs w:val="19"/>
              </w:rPr>
              <w:t xml:space="preserve">Scaffold daily inspection by competent person</w:t>
            </w:r>
          </w:p>
          <w:p>
            <w:pPr>
              <w:spacing w:after="10" w:before="10"/>
            </w:pPr>
            <w:r>
              <w:rPr>
                <w:rFonts w:ascii="Calibri" w:cs="Calibri" w:eastAsia="Calibri" w:hAnsi="Calibri"/>
                <w:b w:val="false"/>
                <w:bCs w:val="false"/>
                <w:color w:val="000000"/>
                <w:sz w:val="19"/>
                <w:szCs w:val="19"/>
              </w:rPr>
              <w:t xml:space="preserve">Tool lanyards for all hand tools at height</w:t>
            </w:r>
          </w:p>
          <w:p>
            <w:pPr>
              <w:spacing w:after="10" w:before="10"/>
            </w:pPr>
            <w:r>
              <w:rPr>
                <w:rFonts w:ascii="Calibri" w:cs="Calibri" w:eastAsia="Calibri" w:hAnsi="Calibri"/>
                <w:b w:val="false"/>
                <w:bCs w:val="false"/>
                <w:color w:val="000000"/>
                <w:sz w:val="19"/>
                <w:szCs w:val="19"/>
              </w:rPr>
              <w:t xml:space="preserve">Toe boards and debris nets to protect workers below</w:t>
            </w:r>
          </w:p>
        </w:tc>
      </w:tr>
      <w:tr>
        <w:tc>
          <w:tcPr>
            <w:tcW w:type="dxa" w:w="2200"/>
            <w:tcBorders>
              <w:top w:val="single" w:color="B0B0B0" w:sz="1"/>
              <w:left w:val="single" w:color="B0B0B0" w:sz="1"/>
              <w:bottom w:val="single" w:color="B0B0B0" w:sz="1"/>
              <w:right w:val="single" w:color="B0B0B0" w:sz="1"/>
            </w:tcBorders>
            <w:tcMar>
              <w:top w:type="dxa" w:w="50"/>
              <w:left w:type="dxa" w:w="80"/>
              <w:bottom w:type="dxa" w:w="50"/>
              <w:right w:type="dxa" w:w="80"/>
            </w:tcMar>
            <w:vAlign w:val="top"/>
          </w:tcPr>
          <w:p>
            <w:pPr>
              <w:spacing w:after="10" w:before="10"/>
            </w:pPr>
            <w:r>
              <w:rPr>
                <w:rFonts w:ascii="Calibri" w:cs="Calibri" w:eastAsia="Calibri" w:hAnsi="Calibri"/>
                <w:b w:val="false"/>
                <w:bCs w:val="false"/>
                <w:color w:val="000000"/>
                <w:sz w:val="19"/>
                <w:szCs w:val="19"/>
              </w:rPr>
              <w:t xml:space="preserve">5. Sealing &amp; Finishing</w:t>
            </w:r>
          </w:p>
        </w:tc>
        <w:tc>
          <w:tcPr>
            <w:tcW w:type="dxa" w:w="2200"/>
            <w:tcBorders>
              <w:top w:val="single" w:color="B0B0B0" w:sz="1"/>
              <w:left w:val="single" w:color="B0B0B0" w:sz="1"/>
              <w:bottom w:val="single" w:color="B0B0B0" w:sz="1"/>
              <w:right w:val="single" w:color="B0B0B0" w:sz="1"/>
            </w:tcBorders>
            <w:tcMar>
              <w:top w:type="dxa" w:w="50"/>
              <w:left w:type="dxa" w:w="80"/>
              <w:bottom w:type="dxa" w:w="50"/>
              <w:right w:type="dxa" w:w="80"/>
            </w:tcMar>
            <w:vAlign w:val="top"/>
          </w:tcPr>
          <w:p>
            <w:pPr>
              <w:spacing w:after="10" w:before="10"/>
            </w:pPr>
            <w:r>
              <w:rPr>
                <w:rFonts w:ascii="Calibri" w:cs="Calibri" w:eastAsia="Calibri" w:hAnsi="Calibri"/>
                <w:b w:val="false"/>
                <w:bCs w:val="false"/>
                <w:color w:val="000000"/>
                <w:sz w:val="19"/>
                <w:szCs w:val="19"/>
              </w:rPr>
              <w:t xml:space="preserve">Chemical exposure (sealants, mastics, adhesives)</w:t>
            </w:r>
          </w:p>
          <w:p>
            <w:pPr>
              <w:spacing w:after="10" w:before="10"/>
            </w:pPr>
            <w:r>
              <w:rPr>
                <w:rFonts w:ascii="Calibri" w:cs="Calibri" w:eastAsia="Calibri" w:hAnsi="Calibri"/>
                <w:b w:val="false"/>
                <w:bCs w:val="false"/>
                <w:color w:val="000000"/>
                <w:sz w:val="19"/>
                <w:szCs w:val="19"/>
              </w:rPr>
              <w:t xml:space="preserve">Slippery surfaces from sealant overspray</w:t>
            </w:r>
          </w:p>
          <w:p>
            <w:pPr>
              <w:spacing w:after="10" w:before="10"/>
            </w:pPr>
            <w:r>
              <w:rPr>
                <w:rFonts w:ascii="Calibri" w:cs="Calibri" w:eastAsia="Calibri" w:hAnsi="Calibri"/>
                <w:b w:val="false"/>
                <w:bCs w:val="false"/>
                <w:color w:val="000000"/>
                <w:sz w:val="19"/>
                <w:szCs w:val="19"/>
              </w:rPr>
              <w:t xml:space="preserve">Ergonomic strain from repetitive motion</w:t>
            </w:r>
          </w:p>
        </w:tc>
        <w:tc>
          <w:tcPr>
            <w:tcW w:type="dxa" w:w="900"/>
            <w:tcBorders>
              <w:top w:val="single" w:color="B0B0B0" w:sz="1"/>
              <w:left w:val="single" w:color="B0B0B0" w:sz="1"/>
              <w:bottom w:val="single" w:color="B0B0B0" w:sz="1"/>
              <w:right w:val="single" w:color="B0B0B0" w:sz="1"/>
            </w:tcBorders>
            <w:shd w:fill="FEF5E7" w:val="clear"/>
            <w:tcMar>
              <w:top w:type="dxa" w:w="50"/>
              <w:left w:type="dxa" w:w="80"/>
              <w:bottom w:type="dxa" w:w="50"/>
              <w:right w:type="dxa" w:w="80"/>
            </w:tcMar>
            <w:vAlign w:val="center"/>
          </w:tcPr>
          <w:p>
            <w:pPr>
              <w:spacing w:after="20" w:before="20"/>
              <w:jc w:val="center"/>
            </w:pPr>
            <w:r>
              <w:rPr>
                <w:rFonts w:ascii="Calibri" w:cs="Calibri" w:eastAsia="Calibri" w:hAnsi="Calibri"/>
                <w:b w:val="false"/>
                <w:bCs w:val="false"/>
                <w:color w:val="000000"/>
                <w:sz w:val="19"/>
                <w:szCs w:val="19"/>
              </w:rPr>
              <w:t xml:space="preserve">M</w:t>
            </w:r>
          </w:p>
        </w:tc>
        <w:tc>
          <w:tcPr>
            <w:tcW w:type="dxa" w:w="4060"/>
            <w:tcBorders>
              <w:top w:val="single" w:color="B0B0B0" w:sz="1"/>
              <w:left w:val="single" w:color="B0B0B0" w:sz="1"/>
              <w:bottom w:val="single" w:color="B0B0B0" w:sz="1"/>
              <w:right w:val="single" w:color="B0B0B0" w:sz="1"/>
            </w:tcBorders>
            <w:tcMar>
              <w:top w:type="dxa" w:w="50"/>
              <w:left w:type="dxa" w:w="80"/>
              <w:bottom w:type="dxa" w:w="50"/>
              <w:right w:type="dxa" w:w="80"/>
            </w:tcMar>
            <w:vAlign w:val="top"/>
          </w:tcPr>
          <w:p>
            <w:pPr>
              <w:spacing w:after="10" w:before="10"/>
            </w:pPr>
            <w:r>
              <w:rPr>
                <w:rFonts w:ascii="Calibri" w:cs="Calibri" w:eastAsia="Calibri" w:hAnsi="Calibri"/>
                <w:b w:val="false"/>
                <w:bCs w:val="false"/>
                <w:color w:val="000000"/>
                <w:sz w:val="19"/>
                <w:szCs w:val="19"/>
              </w:rPr>
              <w:t xml:space="preserve">Review SDS for all sealants and adhesives</w:t>
            </w:r>
          </w:p>
          <w:p>
            <w:pPr>
              <w:spacing w:after="10" w:before="10"/>
            </w:pPr>
            <w:r>
              <w:rPr>
                <w:rFonts w:ascii="Calibri" w:cs="Calibri" w:eastAsia="Calibri" w:hAnsi="Calibri"/>
                <w:b w:val="false"/>
                <w:bCs w:val="false"/>
                <w:color w:val="000000"/>
                <w:sz w:val="19"/>
                <w:szCs w:val="19"/>
              </w:rPr>
              <w:t xml:space="preserve">Chemical-resistant gloves; avoid skin contact</w:t>
            </w:r>
          </w:p>
          <w:p>
            <w:pPr>
              <w:spacing w:after="10" w:before="10"/>
            </w:pPr>
            <w:r>
              <w:rPr>
                <w:rFonts w:ascii="Calibri" w:cs="Calibri" w:eastAsia="Calibri" w:hAnsi="Calibri"/>
                <w:b w:val="false"/>
                <w:bCs w:val="false"/>
                <w:color w:val="000000"/>
                <w:sz w:val="19"/>
                <w:szCs w:val="19"/>
              </w:rPr>
              <w:t xml:space="preserve">Ventilation in enclosed areas — organic vapor respirator if needed</w:t>
            </w:r>
          </w:p>
          <w:p>
            <w:pPr>
              <w:spacing w:after="10" w:before="10"/>
            </w:pPr>
            <w:r>
              <w:rPr>
                <w:rFonts w:ascii="Calibri" w:cs="Calibri" w:eastAsia="Calibri" w:hAnsi="Calibri"/>
                <w:b w:val="false"/>
                <w:bCs w:val="false"/>
                <w:color w:val="000000"/>
                <w:sz w:val="19"/>
                <w:szCs w:val="19"/>
              </w:rPr>
              <w:t xml:space="preserve">Clean overspray immediately to prevent slip hazard</w:t>
            </w:r>
          </w:p>
          <w:p>
            <w:pPr>
              <w:spacing w:after="10" w:before="10"/>
            </w:pPr>
            <w:r>
              <w:rPr>
                <w:rFonts w:ascii="Calibri" w:cs="Calibri" w:eastAsia="Calibri" w:hAnsi="Calibri"/>
                <w:b w:val="false"/>
                <w:bCs w:val="false"/>
                <w:color w:val="000000"/>
                <w:sz w:val="19"/>
                <w:szCs w:val="19"/>
              </w:rPr>
              <w:t xml:space="preserve">Ergonomic breaks; alternate between tasks</w:t>
            </w:r>
          </w:p>
        </w:tc>
      </w:tr>
      <w:tr>
        <w:tc>
          <w:tcPr>
            <w:tcW w:type="dxa" w:w="2200"/>
            <w:tcBorders>
              <w:top w:val="single" w:color="B0B0B0" w:sz="1"/>
              <w:left w:val="single" w:color="B0B0B0" w:sz="1"/>
              <w:bottom w:val="single" w:color="B0B0B0" w:sz="1"/>
              <w:right w:val="single" w:color="B0B0B0" w:sz="1"/>
            </w:tcBorders>
            <w:tcMar>
              <w:top w:type="dxa" w:w="50"/>
              <w:left w:type="dxa" w:w="80"/>
              <w:bottom w:type="dxa" w:w="50"/>
              <w:right w:type="dxa" w:w="80"/>
            </w:tcMar>
            <w:vAlign w:val="top"/>
          </w:tcPr>
          <w:p>
            <w:pPr>
              <w:spacing w:after="10" w:before="10"/>
            </w:pPr>
            <w:r>
              <w:rPr>
                <w:rFonts w:ascii="Calibri" w:cs="Calibri" w:eastAsia="Calibri" w:hAnsi="Calibri"/>
                <w:b w:val="false"/>
                <w:bCs w:val="false"/>
                <w:color w:val="000000"/>
                <w:sz w:val="19"/>
                <w:szCs w:val="19"/>
              </w:rPr>
              <w:t xml:space="preserve">6. Waste Disposal</w:t>
            </w:r>
          </w:p>
        </w:tc>
        <w:tc>
          <w:tcPr>
            <w:tcW w:type="dxa" w:w="2200"/>
            <w:tcBorders>
              <w:top w:val="single" w:color="B0B0B0" w:sz="1"/>
              <w:left w:val="single" w:color="B0B0B0" w:sz="1"/>
              <w:bottom w:val="single" w:color="B0B0B0" w:sz="1"/>
              <w:right w:val="single" w:color="B0B0B0" w:sz="1"/>
            </w:tcBorders>
            <w:tcMar>
              <w:top w:type="dxa" w:w="50"/>
              <w:left w:type="dxa" w:w="80"/>
              <w:bottom w:type="dxa" w:w="50"/>
              <w:right w:type="dxa" w:w="80"/>
            </w:tcMar>
            <w:vAlign w:val="top"/>
          </w:tcPr>
          <w:p>
            <w:pPr>
              <w:spacing w:after="10" w:before="10"/>
            </w:pPr>
            <w:r>
              <w:rPr>
                <w:rFonts w:ascii="Calibri" w:cs="Calibri" w:eastAsia="Calibri" w:hAnsi="Calibri"/>
                <w:b w:val="false"/>
                <w:bCs w:val="false"/>
                <w:color w:val="000000"/>
                <w:sz w:val="19"/>
                <w:szCs w:val="19"/>
              </w:rPr>
              <w:t xml:space="preserve">Asbestos waste handling (regulated)</w:t>
            </w:r>
          </w:p>
          <w:p>
            <w:pPr>
              <w:spacing w:after="10" w:before="10"/>
            </w:pPr>
            <w:r>
              <w:rPr>
                <w:rFonts w:ascii="Calibri" w:cs="Calibri" w:eastAsia="Calibri" w:hAnsi="Calibri"/>
                <w:b w:val="false"/>
                <w:bCs w:val="false"/>
                <w:color w:val="000000"/>
                <w:sz w:val="19"/>
                <w:szCs w:val="19"/>
              </w:rPr>
              <w:t xml:space="preserve">Fiberglass/mineral wool skin irritation</w:t>
            </w:r>
          </w:p>
          <w:p>
            <w:pPr>
              <w:spacing w:after="10" w:before="10"/>
            </w:pPr>
            <w:r>
              <w:rPr>
                <w:rFonts w:ascii="Calibri" w:cs="Calibri" w:eastAsia="Calibri" w:hAnsi="Calibri"/>
                <w:b w:val="false"/>
                <w:bCs w:val="false"/>
                <w:color w:val="000000"/>
                <w:sz w:val="19"/>
                <w:szCs w:val="19"/>
              </w:rPr>
              <w:t xml:space="preserve">Sharp metal scraps — puncture/laceration</w:t>
            </w:r>
          </w:p>
          <w:p>
            <w:pPr>
              <w:spacing w:after="10" w:before="10"/>
            </w:pPr>
            <w:r>
              <w:rPr>
                <w:rFonts w:ascii="Calibri" w:cs="Calibri" w:eastAsia="Calibri" w:hAnsi="Calibri"/>
                <w:b w:val="false"/>
                <w:bCs w:val="false"/>
                <w:color w:val="000000"/>
                <w:sz w:val="19"/>
                <w:szCs w:val="19"/>
              </w:rPr>
              <w:t xml:space="preserve">Manual handling of heavy waste bags</w:t>
            </w:r>
          </w:p>
        </w:tc>
        <w:tc>
          <w:tcPr>
            <w:tcW w:type="dxa" w:w="900"/>
            <w:tcBorders>
              <w:top w:val="single" w:color="B0B0B0" w:sz="1"/>
              <w:left w:val="single" w:color="B0B0B0" w:sz="1"/>
              <w:bottom w:val="single" w:color="B0B0B0" w:sz="1"/>
              <w:right w:val="single" w:color="B0B0B0" w:sz="1"/>
            </w:tcBorders>
            <w:shd w:fill="FEF5E7" w:val="clear"/>
            <w:tcMar>
              <w:top w:type="dxa" w:w="50"/>
              <w:left w:type="dxa" w:w="80"/>
              <w:bottom w:type="dxa" w:w="50"/>
              <w:right w:type="dxa" w:w="80"/>
            </w:tcMar>
            <w:vAlign w:val="center"/>
          </w:tcPr>
          <w:p>
            <w:pPr>
              <w:spacing w:after="20" w:before="20"/>
              <w:jc w:val="center"/>
            </w:pPr>
            <w:r>
              <w:rPr>
                <w:rFonts w:ascii="Calibri" w:cs="Calibri" w:eastAsia="Calibri" w:hAnsi="Calibri"/>
                <w:b w:val="false"/>
                <w:bCs w:val="false"/>
                <w:color w:val="000000"/>
                <w:sz w:val="19"/>
                <w:szCs w:val="19"/>
              </w:rPr>
              <w:t xml:space="preserve">M</w:t>
            </w:r>
          </w:p>
        </w:tc>
        <w:tc>
          <w:tcPr>
            <w:tcW w:type="dxa" w:w="4060"/>
            <w:tcBorders>
              <w:top w:val="single" w:color="B0B0B0" w:sz="1"/>
              <w:left w:val="single" w:color="B0B0B0" w:sz="1"/>
              <w:bottom w:val="single" w:color="B0B0B0" w:sz="1"/>
              <w:right w:val="single" w:color="B0B0B0" w:sz="1"/>
            </w:tcBorders>
            <w:tcMar>
              <w:top w:type="dxa" w:w="50"/>
              <w:left w:type="dxa" w:w="80"/>
              <w:bottom w:type="dxa" w:w="50"/>
              <w:right w:type="dxa" w:w="80"/>
            </w:tcMar>
            <w:vAlign w:val="top"/>
          </w:tcPr>
          <w:p>
            <w:pPr>
              <w:spacing w:after="10" w:before="10"/>
            </w:pPr>
            <w:r>
              <w:rPr>
                <w:rFonts w:ascii="Calibri" w:cs="Calibri" w:eastAsia="Calibri" w:hAnsi="Calibri"/>
                <w:b w:val="false"/>
                <w:bCs w:val="false"/>
                <w:color w:val="000000"/>
                <w:sz w:val="19"/>
                <w:szCs w:val="19"/>
              </w:rPr>
              <w:t xml:space="preserve">Asbestos waste double-bagged in labeled 6-mil poly bags</w:t>
            </w:r>
          </w:p>
          <w:p>
            <w:pPr>
              <w:spacing w:after="10" w:before="10"/>
            </w:pPr>
            <w:r>
              <w:rPr>
                <w:rFonts w:ascii="Calibri" w:cs="Calibri" w:eastAsia="Calibri" w:hAnsi="Calibri"/>
                <w:b w:val="false"/>
                <w:bCs w:val="false"/>
                <w:color w:val="000000"/>
                <w:sz w:val="19"/>
                <w:szCs w:val="19"/>
              </w:rPr>
              <w:t xml:space="preserve">Non-ACM insulation waste in covered containers</w:t>
            </w:r>
          </w:p>
          <w:p>
            <w:pPr>
              <w:spacing w:after="10" w:before="10"/>
            </w:pPr>
            <w:r>
              <w:rPr>
                <w:rFonts w:ascii="Calibri" w:cs="Calibri" w:eastAsia="Calibri" w:hAnsi="Calibri"/>
                <w:b w:val="false"/>
                <w:bCs w:val="false"/>
                <w:color w:val="000000"/>
                <w:sz w:val="19"/>
                <w:szCs w:val="19"/>
              </w:rPr>
              <w:t xml:space="preserve">Metal scraps in designated sharp-waste bins</w:t>
            </w:r>
          </w:p>
          <w:p>
            <w:pPr>
              <w:spacing w:after="10" w:before="10"/>
            </w:pPr>
            <w:r>
              <w:rPr>
                <w:rFonts w:ascii="Calibri" w:cs="Calibri" w:eastAsia="Calibri" w:hAnsi="Calibri"/>
                <w:b w:val="false"/>
                <w:bCs w:val="false"/>
                <w:color w:val="000000"/>
                <w:sz w:val="19"/>
                <w:szCs w:val="19"/>
              </w:rPr>
              <w:t xml:space="preserve">All waste characterized and disposed per EPA/state regulations</w:t>
            </w:r>
          </w:p>
          <w:p>
            <w:pPr>
              <w:spacing w:after="10" w:before="10"/>
            </w:pPr>
            <w:r>
              <w:rPr>
                <w:rFonts w:ascii="Calibri" w:cs="Calibri" w:eastAsia="Calibri" w:hAnsi="Calibri"/>
                <w:b w:val="false"/>
                <w:bCs w:val="false"/>
                <w:color w:val="000000"/>
                <w:sz w:val="19"/>
                <w:szCs w:val="19"/>
              </w:rPr>
              <w:t xml:space="preserve">Proper lifting techniques; limit bag weight to 50 lbs</w:t>
            </w:r>
          </w:p>
          <w:p>
            <w:pPr>
              <w:spacing w:after="10" w:before="10"/>
            </w:pPr>
            <w:r>
              <w:rPr>
                <w:rFonts w:ascii="Calibri" w:cs="Calibri" w:eastAsia="Calibri" w:hAnsi="Calibri"/>
                <w:b w:val="false"/>
                <w:bCs w:val="false"/>
                <w:color w:val="000000"/>
                <w:sz w:val="19"/>
                <w:szCs w:val="19"/>
              </w:rPr>
              <w:t xml:space="preserve">Maintain waste manifests for all hazardous materials</w:t>
            </w:r>
          </w:p>
        </w:tc>
      </w:tr>
    </w:tbl>
    <w:p>
      <w:pPr>
        <w:spacing w:before="200"/>
      </w:pPr>
    </w:p>
    <w:p>
      <w:pPr>
        <w:spacing w:after="120" w:before="300"/>
      </w:pPr>
      <w:r>
        <w:rPr>
          <w:rFonts w:ascii="Calibri" w:cs="Calibri" w:eastAsia="Calibri" w:hAnsi="Calibri"/>
          <w:b/>
          <w:bCs/>
          <w:color w:val="1B2A4A"/>
          <w:sz w:val="26"/>
          <w:szCs w:val="26"/>
        </w:rPr>
        <w:t xml:space="preserve">PERSONAL PROTECTIVE EQUIPMENT (PPE)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9360"/>
            <w:gridSpan w:val="2"/>
            <w:tcBorders>
              <w:top w:val="single" w:color="B0B0B0" w:sz="1"/>
              <w:left w:val="single" w:color="B0B0B0" w:sz="1"/>
              <w:bottom w:val="single" w:color="B0B0B0" w:sz="1"/>
              <w:right w:val="single" w:color="B0B0B0" w:sz="1"/>
            </w:tcBorders>
            <w:shd w:fill="1B2A4A" w:val="clear"/>
            <w:tcMar>
              <w:top w:type="dxa" w:w="50"/>
              <w:left w:type="dxa" w:w="80"/>
              <w:bottom w:type="dxa" w:w="50"/>
              <w:right w:type="dxa" w:w="80"/>
            </w:tcMar>
            <w:vAlign w:val="center"/>
          </w:tcPr>
          <w:p>
            <w:pPr>
              <w:spacing w:after="20" w:before="20"/>
              <w:jc w:val="center"/>
            </w:pPr>
            <w:r>
              <w:rPr>
                <w:rFonts w:ascii="Calibri" w:cs="Calibri" w:eastAsia="Calibri" w:hAnsi="Calibri"/>
                <w:b/>
                <w:bCs/>
                <w:color w:val="FFFFFF"/>
                <w:sz w:val="22"/>
                <w:szCs w:val="22"/>
              </w:rPr>
              <w:t xml:space="preserve">PPE Required</w:t>
            </w:r>
          </w:p>
        </w:tc>
      </w:tr>
      <w:tr>
        <w:tc>
          <w:tcPr>
            <w:tcW w:type="dxa" w:w="468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Hard Hat (ANSI Z89.1)</w:t>
            </w:r>
          </w:p>
        </w:tc>
        <w:tc>
          <w:tcPr>
            <w:tcW w:type="dxa" w:w="468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Safety Glasses / Goggles (fiber protection)</w:t>
            </w:r>
          </w:p>
        </w:tc>
      </w:tr>
      <w:tr>
        <w:tc>
          <w:tcPr>
            <w:tcW w:type="dxa" w:w="468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N95 or P100 Respirator (fiber cutting/removal)</w:t>
            </w:r>
          </w:p>
        </w:tc>
        <w:tc>
          <w:tcPr>
            <w:tcW w:type="dxa" w:w="468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PAPR (asbestos removal operations)</w:t>
            </w:r>
          </w:p>
        </w:tc>
      </w:tr>
      <w:tr>
        <w:tc>
          <w:tcPr>
            <w:tcW w:type="dxa" w:w="468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Cut-Resistant Gloves (ANSI A4 for jacketing)</w:t>
            </w:r>
          </w:p>
        </w:tc>
        <w:tc>
          <w:tcPr>
            <w:tcW w:type="dxa" w:w="468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Heat-Resistant Gloves (hot pipe work)</w:t>
            </w:r>
          </w:p>
        </w:tc>
      </w:tr>
      <w:tr>
        <w:tc>
          <w:tcPr>
            <w:tcW w:type="dxa" w:w="468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Long-Sleeve Shirt / Tyvek Coveralls</w:t>
            </w:r>
          </w:p>
        </w:tc>
        <w:tc>
          <w:tcPr>
            <w:tcW w:type="dxa" w:w="468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Steel-Toe Safety Boots</w:t>
            </w:r>
          </w:p>
        </w:tc>
      </w:tr>
      <w:tr>
        <w:tc>
          <w:tcPr>
            <w:tcW w:type="dxa" w:w="468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Fall Protection Harness (scaffolding above 6 ft)</w:t>
            </w:r>
          </w:p>
        </w:tc>
        <w:tc>
          <w:tcPr>
            <w:tcW w:type="dxa" w:w="468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Tool Lanyards (work at height)</w:t>
            </w:r>
          </w:p>
        </w:tc>
      </w:tr>
    </w:tbl>
    <w:p>
      <w:r>
        <w:br w:type="page"/>
      </w:r>
    </w:p>
    <w:p>
      <w:pPr>
        <w:spacing w:after="120" w:before="300"/>
      </w:pPr>
      <w:r>
        <w:rPr>
          <w:rFonts w:ascii="Calibri" w:cs="Calibri" w:eastAsia="Calibri" w:hAnsi="Calibri"/>
          <w:b/>
          <w:bCs/>
          <w:color w:val="1B2A4A"/>
          <w:sz w:val="26"/>
          <w:szCs w:val="26"/>
        </w:rPr>
        <w:t xml:space="preserve">EMERGENCY PROCEDURES</w:t>
      </w:r>
    </w:p>
    <w:p>
      <w:pPr>
        <w:spacing w:after="60" w:before="60"/>
      </w:pPr>
      <w:r>
        <w:rPr>
          <w:rFonts w:ascii="Calibri" w:cs="Calibri" w:eastAsia="Calibri" w:hAnsi="Calibri"/>
          <w:b w:val="false"/>
          <w:bCs w:val="false"/>
          <w:color w:val="000000"/>
          <w:sz w:val="20"/>
          <w:szCs w:val="20"/>
        </w:rPr>
        <w:t xml:space="preserve">1. ASBESTOS FIBER RELEASE: Stop work immediately. Evacuate area and seal off. Notify site safety officer and client. Do NOT attempt cleanup — licensed abatement contractor required. Air monitoring must be conducted before re-entry.</w:t>
      </w:r>
    </w:p>
    <w:p>
      <w:pPr>
        <w:spacing w:after="60" w:before="60"/>
      </w:pPr>
      <w:r>
        <w:rPr>
          <w:rFonts w:ascii="Calibri" w:cs="Calibri" w:eastAsia="Calibri" w:hAnsi="Calibri"/>
          <w:b w:val="false"/>
          <w:bCs w:val="false"/>
          <w:color w:val="000000"/>
          <w:sz w:val="20"/>
          <w:szCs w:val="20"/>
        </w:rPr>
        <w:t xml:space="preserve">2. THERMAL BURN FROM HOT PIPE: Cool burn with clean, cool water for 10+ minutes. Remove clothing near burn unless adhered. Cover with sterile dressing. Seek medical attention for second-degree burns or larger.</w:t>
      </w:r>
    </w:p>
    <w:p>
      <w:pPr>
        <w:spacing w:after="60" w:before="60"/>
      </w:pPr>
      <w:r>
        <w:rPr>
          <w:rFonts w:ascii="Calibri" w:cs="Calibri" w:eastAsia="Calibri" w:hAnsi="Calibri"/>
          <w:b w:val="false"/>
          <w:bCs w:val="false"/>
          <w:color w:val="000000"/>
          <w:sz w:val="20"/>
          <w:szCs w:val="20"/>
        </w:rPr>
        <w:t xml:space="preserve">3. SEVERE LACERATION (METAL/KNIFE): Apply direct pressure with clean cloth. Elevate injured limb. Call 911 if bleeding is uncontrolled. Do not remove embedded objects.</w:t>
      </w:r>
    </w:p>
    <w:p>
      <w:pPr>
        <w:spacing w:after="60" w:before="60"/>
      </w:pPr>
      <w:r>
        <w:rPr>
          <w:rFonts w:ascii="Calibri" w:cs="Calibri" w:eastAsia="Calibri" w:hAnsi="Calibri"/>
          <w:b w:val="false"/>
          <w:bCs w:val="false"/>
          <w:color w:val="000000"/>
          <w:sz w:val="20"/>
          <w:szCs w:val="20"/>
        </w:rPr>
        <w:t xml:space="preserve">4. FALL FROM SCAFFOLDING: Call 911. Do not move victim if spinal injury suspected. If in fall arrest harness, initiate suspension trauma rescue within 15 minutes. Monitor vitals.</w:t>
      </w:r>
    </w:p>
    <w:p>
      <w:pPr>
        <w:spacing w:after="60" w:before="60"/>
      </w:pPr>
      <w:r>
        <w:rPr>
          <w:rFonts w:ascii="Calibri" w:cs="Calibri" w:eastAsia="Calibri" w:hAnsi="Calibri"/>
          <w:b w:val="false"/>
          <w:bCs w:val="false"/>
          <w:color w:val="000000"/>
          <w:sz w:val="20"/>
          <w:szCs w:val="20"/>
        </w:rPr>
        <w:t xml:space="preserve">5. FIBER INHALATION / RESPIRATORY DISTRESS: Move to fresh air. If difficulty breathing, administer oxygen if available. Call 911. Provide SDS information on fiber type to responders.</w:t>
      </w:r>
    </w:p>
    <w:p>
      <w:pPr>
        <w:spacing w:after="60" w:before="60"/>
      </w:pPr>
      <w:r>
        <w:rPr>
          <w:rFonts w:ascii="Calibri" w:cs="Calibri" w:eastAsia="Calibri" w:hAnsi="Calibri"/>
          <w:b w:val="false"/>
          <w:bCs w:val="false"/>
          <w:color w:val="000000"/>
          <w:sz w:val="20"/>
          <w:szCs w:val="20"/>
        </w:rPr>
        <w:t xml:space="preserve">6. EMERGENCY CONTACTS: 911 for all emergencies. Site Safety Officer: ____________. Poison Control: 1-800-222-1222. Asbestos Abatement Coordinator: ____________.</w:t>
      </w:r>
    </w:p>
    <w:p>
      <w:pPr>
        <w:spacing w:after="120" w:before="300"/>
      </w:pPr>
      <w:r>
        <w:rPr>
          <w:rFonts w:ascii="Calibri" w:cs="Calibri" w:eastAsia="Calibri" w:hAnsi="Calibri"/>
          <w:b/>
          <w:bCs/>
          <w:color w:val="1B2A4A"/>
          <w:sz w:val="26"/>
          <w:szCs w:val="26"/>
        </w:rPr>
        <w:t xml:space="preserve">ADDITIONAL NOTES / SITE-SPECIFIC REQUIREMENTS</w:t>
      </w:r>
    </w:p>
    <w:p>
      <w:pPr>
        <w:spacing w:after="60" w:before="60"/>
      </w:pPr>
      <w:r>
        <w:rPr>
          <w:rFonts w:ascii="Calibri" w:cs="Calibri" w:eastAsia="Calibri" w:hAnsi="Calibri"/>
          <w:b w:val="false"/>
          <w:bCs w:val="false"/>
          <w:color w:val="000000"/>
          <w:sz w:val="20"/>
          <w:szCs w:val="20"/>
        </w:rPr>
        <w:t xml:space="preserve">• All existing insulation must be surveyed for asbestos content before any disturbance per NESHAP requirements.</w:t>
      </w:r>
    </w:p>
    <w:p>
      <w:pPr>
        <w:spacing w:after="60" w:before="60"/>
      </w:pPr>
      <w:r>
        <w:rPr>
          <w:rFonts w:ascii="Calibri" w:cs="Calibri" w:eastAsia="Calibri" w:hAnsi="Calibri"/>
          <w:b w:val="false"/>
          <w:bCs w:val="false"/>
          <w:color w:val="000000"/>
          <w:sz w:val="20"/>
          <w:szCs w:val="20"/>
        </w:rPr>
        <w:t xml:space="preserve">• Insulation workers must complete asbestos awareness training per 29 CFR 1926.1101(k)(9).</w:t>
      </w:r>
    </w:p>
    <w:p>
      <w:pPr>
        <w:spacing w:after="60" w:before="60"/>
      </w:pPr>
      <w:r>
        <w:rPr>
          <w:rFonts w:ascii="Calibri" w:cs="Calibri" w:eastAsia="Calibri" w:hAnsi="Calibri"/>
          <w:b w:val="false"/>
          <w:bCs w:val="false"/>
          <w:color w:val="000000"/>
          <w:sz w:val="20"/>
          <w:szCs w:val="20"/>
        </w:rPr>
        <w:t xml:space="preserve">• Scaffolding must be erected and inspected by a competent person per Subpart L.</w:t>
      </w:r>
    </w:p>
    <w:p>
      <w:pPr>
        <w:spacing w:after="60" w:before="60"/>
      </w:pPr>
      <w:r>
        <w:rPr>
          <w:rFonts w:ascii="Calibri" w:cs="Calibri" w:eastAsia="Calibri" w:hAnsi="Calibri"/>
          <w:b w:val="false"/>
          <w:bCs w:val="false"/>
          <w:color w:val="000000"/>
          <w:sz w:val="20"/>
          <w:szCs w:val="20"/>
        </w:rPr>
        <w:t xml:space="preserve">• Hot pipe insulation requires temperature verification — lockout/tagout of heat source preferred.</w:t>
      </w:r>
    </w:p>
    <w:p>
      <w:pPr>
        <w:spacing w:after="60" w:before="60"/>
      </w:pPr>
      <w:r>
        <w:rPr>
          <w:rFonts w:ascii="Calibri" w:cs="Calibri" w:eastAsia="Calibri" w:hAnsi="Calibri"/>
          <w:b w:val="false"/>
          <w:bCs w:val="false"/>
          <w:color w:val="000000"/>
          <w:sz w:val="20"/>
          <w:szCs w:val="20"/>
        </w:rPr>
        <w:t xml:space="preserve">• Material Safety Data Sheets for all insulation products, adhesives, and sealants must be on-site.</w:t>
      </w:r>
    </w:p>
    <w:p>
      <w:pPr>
        <w:spacing w:after="120" w:before="300"/>
      </w:pPr>
      <w:r>
        <w:rPr>
          <w:rFonts w:ascii="Calibri" w:cs="Calibri" w:eastAsia="Calibri" w:hAnsi="Calibri"/>
          <w:b/>
          <w:bCs/>
          <w:color w:val="1B2A4A"/>
          <w:sz w:val="26"/>
          <w:szCs w:val="26"/>
        </w:rPr>
        <w:t xml:space="preserve">WORKER SIGN-OFF</w:t>
      </w:r>
    </w:p>
    <w:p>
      <w:pPr>
        <w:spacing w:after="60" w:before="60"/>
      </w:pPr>
      <w:r>
        <w:rPr>
          <w:rFonts w:ascii="Calibri" w:cs="Calibri" w:eastAsia="Calibri" w:hAnsi="Calibri"/>
          <w:b w:val="false"/>
          <w:bCs w:val="false"/>
          <w:color w:val="000000"/>
          <w:sz w:val="20"/>
          <w:szCs w:val="20"/>
        </w:rPr>
        <w:t xml:space="preserve">By signing below, I confirm that I have reviewed and understand this JHA, including all identified hazards and required control measures.</w:t>
      </w:r>
    </w:p>
    <w:p>
      <w:pPr>
        <w:spacing w:before="10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600"/>
        <w:gridCol w:w="2400"/>
        <w:gridCol w:w="2400"/>
        <w:gridCol w:w="1480"/>
        <w:gridCol w:w="2480"/>
      </w:tblGrid>
      <w:tr>
        <w:tc>
          <w:tcPr>
            <w:tcW w:type="dxa" w:w="600"/>
            <w:tcBorders>
              <w:top w:val="single" w:color="B0B0B0" w:sz="1"/>
              <w:left w:val="single" w:color="B0B0B0" w:sz="1"/>
              <w:bottom w:val="single" w:color="B0B0B0" w:sz="1"/>
              <w:right w:val="single" w:color="B0B0B0" w:sz="1"/>
            </w:tcBorders>
            <w:shd w:fill="1B2A4A" w:val="clear"/>
            <w:tcMar>
              <w:top w:type="dxa" w:w="50"/>
              <w:left w:type="dxa" w:w="80"/>
              <w:bottom w:type="dxa" w:w="50"/>
              <w:right w:type="dxa" w:w="80"/>
            </w:tcMar>
            <w:vAlign w:val="center"/>
          </w:tcPr>
          <w:p>
            <w:pPr>
              <w:spacing w:after="20" w:before="20"/>
              <w:jc w:val="center"/>
            </w:pPr>
            <w:r>
              <w:rPr>
                <w:rFonts w:ascii="Calibri" w:cs="Calibri" w:eastAsia="Calibri" w:hAnsi="Calibri"/>
                <w:b/>
                <w:bCs/>
                <w:color w:val="FFFFFF"/>
                <w:sz w:val="20"/>
                <w:szCs w:val="20"/>
              </w:rPr>
              <w:t xml:space="preserve">#</w:t>
            </w:r>
          </w:p>
        </w:tc>
        <w:tc>
          <w:tcPr>
            <w:tcW w:type="dxa" w:w="2400"/>
            <w:tcBorders>
              <w:top w:val="single" w:color="B0B0B0" w:sz="1"/>
              <w:left w:val="single" w:color="B0B0B0" w:sz="1"/>
              <w:bottom w:val="single" w:color="B0B0B0" w:sz="1"/>
              <w:right w:val="single" w:color="B0B0B0" w:sz="1"/>
            </w:tcBorders>
            <w:shd w:fill="1B2A4A" w:val="clear"/>
            <w:tcMar>
              <w:top w:type="dxa" w:w="50"/>
              <w:left w:type="dxa" w:w="80"/>
              <w:bottom w:type="dxa" w:w="50"/>
              <w:right w:type="dxa" w:w="80"/>
            </w:tcMar>
            <w:vAlign w:val="center"/>
          </w:tcPr>
          <w:p>
            <w:pPr>
              <w:spacing w:after="20" w:before="20"/>
              <w:jc w:val="center"/>
            </w:pPr>
            <w:r>
              <w:rPr>
                <w:rFonts w:ascii="Calibri" w:cs="Calibri" w:eastAsia="Calibri" w:hAnsi="Calibri"/>
                <w:b/>
                <w:bCs/>
                <w:color w:val="FFFFFF"/>
                <w:sz w:val="20"/>
                <w:szCs w:val="20"/>
              </w:rPr>
              <w:t xml:space="preserve">Print Name</w:t>
            </w:r>
          </w:p>
        </w:tc>
        <w:tc>
          <w:tcPr>
            <w:tcW w:type="dxa" w:w="2400"/>
            <w:tcBorders>
              <w:top w:val="single" w:color="B0B0B0" w:sz="1"/>
              <w:left w:val="single" w:color="B0B0B0" w:sz="1"/>
              <w:bottom w:val="single" w:color="B0B0B0" w:sz="1"/>
              <w:right w:val="single" w:color="B0B0B0" w:sz="1"/>
            </w:tcBorders>
            <w:shd w:fill="1B2A4A" w:val="clear"/>
            <w:tcMar>
              <w:top w:type="dxa" w:w="50"/>
              <w:left w:type="dxa" w:w="80"/>
              <w:bottom w:type="dxa" w:w="50"/>
              <w:right w:type="dxa" w:w="80"/>
            </w:tcMar>
            <w:vAlign w:val="center"/>
          </w:tcPr>
          <w:p>
            <w:pPr>
              <w:spacing w:after="20" w:before="20"/>
              <w:jc w:val="center"/>
            </w:pPr>
            <w:r>
              <w:rPr>
                <w:rFonts w:ascii="Calibri" w:cs="Calibri" w:eastAsia="Calibri" w:hAnsi="Calibri"/>
                <w:b/>
                <w:bCs/>
                <w:color w:val="FFFFFF"/>
                <w:sz w:val="20"/>
                <w:szCs w:val="20"/>
              </w:rPr>
              <w:t xml:space="preserve">Signature</w:t>
            </w:r>
          </w:p>
        </w:tc>
        <w:tc>
          <w:tcPr>
            <w:tcW w:type="dxa" w:w="1480"/>
            <w:tcBorders>
              <w:top w:val="single" w:color="B0B0B0" w:sz="1"/>
              <w:left w:val="single" w:color="B0B0B0" w:sz="1"/>
              <w:bottom w:val="single" w:color="B0B0B0" w:sz="1"/>
              <w:right w:val="single" w:color="B0B0B0" w:sz="1"/>
            </w:tcBorders>
            <w:shd w:fill="1B2A4A" w:val="clear"/>
            <w:tcMar>
              <w:top w:type="dxa" w:w="50"/>
              <w:left w:type="dxa" w:w="80"/>
              <w:bottom w:type="dxa" w:w="50"/>
              <w:right w:type="dxa" w:w="80"/>
            </w:tcMar>
            <w:vAlign w:val="center"/>
          </w:tcPr>
          <w:p>
            <w:pPr>
              <w:spacing w:after="20" w:before="20"/>
              <w:jc w:val="center"/>
            </w:pPr>
            <w:r>
              <w:rPr>
                <w:rFonts w:ascii="Calibri" w:cs="Calibri" w:eastAsia="Calibri" w:hAnsi="Calibri"/>
                <w:b/>
                <w:bCs/>
                <w:color w:val="FFFFFF"/>
                <w:sz w:val="20"/>
                <w:szCs w:val="20"/>
              </w:rPr>
              <w:t xml:space="preserve">Date</w:t>
            </w:r>
          </w:p>
        </w:tc>
        <w:tc>
          <w:tcPr>
            <w:tcW w:type="dxa" w:w="2480"/>
            <w:tcBorders>
              <w:top w:val="single" w:color="B0B0B0" w:sz="1"/>
              <w:left w:val="single" w:color="B0B0B0" w:sz="1"/>
              <w:bottom w:val="single" w:color="B0B0B0" w:sz="1"/>
              <w:right w:val="single" w:color="B0B0B0" w:sz="1"/>
            </w:tcBorders>
            <w:shd w:fill="1B2A4A" w:val="clear"/>
            <w:tcMar>
              <w:top w:type="dxa" w:w="50"/>
              <w:left w:type="dxa" w:w="80"/>
              <w:bottom w:type="dxa" w:w="50"/>
              <w:right w:type="dxa" w:w="80"/>
            </w:tcMar>
            <w:vAlign w:val="center"/>
          </w:tcPr>
          <w:p>
            <w:pPr>
              <w:spacing w:after="20" w:before="20"/>
              <w:jc w:val="center"/>
            </w:pPr>
            <w:r>
              <w:rPr>
                <w:rFonts w:ascii="Calibri" w:cs="Calibri" w:eastAsia="Calibri" w:hAnsi="Calibri"/>
                <w:b/>
                <w:bCs/>
                <w:color w:val="FFFFFF"/>
                <w:sz w:val="20"/>
                <w:szCs w:val="20"/>
              </w:rPr>
              <w:t xml:space="preserve">Company/Trade</w:t>
            </w:r>
          </w:p>
        </w:tc>
      </w:tr>
      <w:tr>
        <w:trPr>
          <w:trHeight w:val="400" w:hRule="atLeast"/>
        </w:trPr>
        <w:tc>
          <w:tcPr>
            <w:tcW w:type="dxa" w:w="6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center"/>
            </w:pPr>
            <w:r>
              <w:rPr>
                <w:rFonts w:ascii="Calibri" w:cs="Calibri" w:eastAsia="Calibri" w:hAnsi="Calibri"/>
                <w:b w:val="false"/>
                <w:bCs w:val="false"/>
                <w:color w:val="000000"/>
                <w:sz w:val="20"/>
                <w:szCs w:val="20"/>
              </w:rPr>
              <w:t xml:space="preserve">1</w:t>
            </w:r>
          </w:p>
        </w:tc>
        <w:tc>
          <w:tcPr>
            <w:tcW w:type="dxa" w:w="24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24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148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248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r>
      <w:tr>
        <w:trPr>
          <w:trHeight w:val="400" w:hRule="atLeast"/>
        </w:trPr>
        <w:tc>
          <w:tcPr>
            <w:tcW w:type="dxa" w:w="6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center"/>
            </w:pPr>
            <w:r>
              <w:rPr>
                <w:rFonts w:ascii="Calibri" w:cs="Calibri" w:eastAsia="Calibri" w:hAnsi="Calibri"/>
                <w:b w:val="false"/>
                <w:bCs w:val="false"/>
                <w:color w:val="000000"/>
                <w:sz w:val="20"/>
                <w:szCs w:val="20"/>
              </w:rPr>
              <w:t xml:space="preserve">2</w:t>
            </w:r>
          </w:p>
        </w:tc>
        <w:tc>
          <w:tcPr>
            <w:tcW w:type="dxa" w:w="24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24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148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248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r>
      <w:tr>
        <w:trPr>
          <w:trHeight w:val="400" w:hRule="atLeast"/>
        </w:trPr>
        <w:tc>
          <w:tcPr>
            <w:tcW w:type="dxa" w:w="6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center"/>
            </w:pPr>
            <w:r>
              <w:rPr>
                <w:rFonts w:ascii="Calibri" w:cs="Calibri" w:eastAsia="Calibri" w:hAnsi="Calibri"/>
                <w:b w:val="false"/>
                <w:bCs w:val="false"/>
                <w:color w:val="000000"/>
                <w:sz w:val="20"/>
                <w:szCs w:val="20"/>
              </w:rPr>
              <w:t xml:space="preserve">3</w:t>
            </w:r>
          </w:p>
        </w:tc>
        <w:tc>
          <w:tcPr>
            <w:tcW w:type="dxa" w:w="24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24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148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248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r>
      <w:tr>
        <w:trPr>
          <w:trHeight w:val="400" w:hRule="atLeast"/>
        </w:trPr>
        <w:tc>
          <w:tcPr>
            <w:tcW w:type="dxa" w:w="6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center"/>
            </w:pPr>
            <w:r>
              <w:rPr>
                <w:rFonts w:ascii="Calibri" w:cs="Calibri" w:eastAsia="Calibri" w:hAnsi="Calibri"/>
                <w:b w:val="false"/>
                <w:bCs w:val="false"/>
                <w:color w:val="000000"/>
                <w:sz w:val="20"/>
                <w:szCs w:val="20"/>
              </w:rPr>
              <w:t xml:space="preserve">4</w:t>
            </w:r>
          </w:p>
        </w:tc>
        <w:tc>
          <w:tcPr>
            <w:tcW w:type="dxa" w:w="24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24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148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248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r>
      <w:tr>
        <w:trPr>
          <w:trHeight w:val="400" w:hRule="atLeast"/>
        </w:trPr>
        <w:tc>
          <w:tcPr>
            <w:tcW w:type="dxa" w:w="6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center"/>
            </w:pPr>
            <w:r>
              <w:rPr>
                <w:rFonts w:ascii="Calibri" w:cs="Calibri" w:eastAsia="Calibri" w:hAnsi="Calibri"/>
                <w:b w:val="false"/>
                <w:bCs w:val="false"/>
                <w:color w:val="000000"/>
                <w:sz w:val="20"/>
                <w:szCs w:val="20"/>
              </w:rPr>
              <w:t xml:space="preserve">5</w:t>
            </w:r>
          </w:p>
        </w:tc>
        <w:tc>
          <w:tcPr>
            <w:tcW w:type="dxa" w:w="24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24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148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248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r>
      <w:tr>
        <w:trPr>
          <w:trHeight w:val="400" w:hRule="atLeast"/>
        </w:trPr>
        <w:tc>
          <w:tcPr>
            <w:tcW w:type="dxa" w:w="6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center"/>
            </w:pPr>
            <w:r>
              <w:rPr>
                <w:rFonts w:ascii="Calibri" w:cs="Calibri" w:eastAsia="Calibri" w:hAnsi="Calibri"/>
                <w:b w:val="false"/>
                <w:bCs w:val="false"/>
                <w:color w:val="000000"/>
                <w:sz w:val="20"/>
                <w:szCs w:val="20"/>
              </w:rPr>
              <w:t xml:space="preserve">6</w:t>
            </w:r>
          </w:p>
        </w:tc>
        <w:tc>
          <w:tcPr>
            <w:tcW w:type="dxa" w:w="24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24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148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248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r>
      <w:tr>
        <w:trPr>
          <w:trHeight w:val="400" w:hRule="atLeast"/>
        </w:trPr>
        <w:tc>
          <w:tcPr>
            <w:tcW w:type="dxa" w:w="6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center"/>
            </w:pPr>
            <w:r>
              <w:rPr>
                <w:rFonts w:ascii="Calibri" w:cs="Calibri" w:eastAsia="Calibri" w:hAnsi="Calibri"/>
                <w:b w:val="false"/>
                <w:bCs w:val="false"/>
                <w:color w:val="000000"/>
                <w:sz w:val="20"/>
                <w:szCs w:val="20"/>
              </w:rPr>
              <w:t xml:space="preserve">7</w:t>
            </w:r>
          </w:p>
        </w:tc>
        <w:tc>
          <w:tcPr>
            <w:tcW w:type="dxa" w:w="24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24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148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248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r>
      <w:tr>
        <w:trPr>
          <w:trHeight w:val="400" w:hRule="atLeast"/>
        </w:trPr>
        <w:tc>
          <w:tcPr>
            <w:tcW w:type="dxa" w:w="6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center"/>
            </w:pPr>
            <w:r>
              <w:rPr>
                <w:rFonts w:ascii="Calibri" w:cs="Calibri" w:eastAsia="Calibri" w:hAnsi="Calibri"/>
                <w:b w:val="false"/>
                <w:bCs w:val="false"/>
                <w:color w:val="000000"/>
                <w:sz w:val="20"/>
                <w:szCs w:val="20"/>
              </w:rPr>
              <w:t xml:space="preserve">8</w:t>
            </w:r>
          </w:p>
        </w:tc>
        <w:tc>
          <w:tcPr>
            <w:tcW w:type="dxa" w:w="24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24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148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248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r>
      <w:tr>
        <w:trPr>
          <w:trHeight w:val="400" w:hRule="atLeast"/>
        </w:trPr>
        <w:tc>
          <w:tcPr>
            <w:tcW w:type="dxa" w:w="6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center"/>
            </w:pPr>
            <w:r>
              <w:rPr>
                <w:rFonts w:ascii="Calibri" w:cs="Calibri" w:eastAsia="Calibri" w:hAnsi="Calibri"/>
                <w:b w:val="false"/>
                <w:bCs w:val="false"/>
                <w:color w:val="000000"/>
                <w:sz w:val="20"/>
                <w:szCs w:val="20"/>
              </w:rPr>
              <w:t xml:space="preserve">9</w:t>
            </w:r>
          </w:p>
        </w:tc>
        <w:tc>
          <w:tcPr>
            <w:tcW w:type="dxa" w:w="24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24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148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248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r>
      <w:tr>
        <w:trPr>
          <w:trHeight w:val="400" w:hRule="atLeast"/>
        </w:trPr>
        <w:tc>
          <w:tcPr>
            <w:tcW w:type="dxa" w:w="6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center"/>
            </w:pPr>
            <w:r>
              <w:rPr>
                <w:rFonts w:ascii="Calibri" w:cs="Calibri" w:eastAsia="Calibri" w:hAnsi="Calibri"/>
                <w:b w:val="false"/>
                <w:bCs w:val="false"/>
                <w:color w:val="000000"/>
                <w:sz w:val="20"/>
                <w:szCs w:val="20"/>
              </w:rPr>
              <w:t xml:space="preserve">10</w:t>
            </w:r>
          </w:p>
        </w:tc>
        <w:tc>
          <w:tcPr>
            <w:tcW w:type="dxa" w:w="24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24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148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248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r>
    </w:tbl>
    <w:p>
      <w:r>
        <w:br w:type="page"/>
      </w:r>
    </w:p>
    <w:p>
      <w:pPr>
        <w:spacing w:after="120" w:before="300"/>
      </w:pPr>
      <w:r>
        <w:rPr>
          <w:rFonts w:ascii="Calibri" w:cs="Calibri" w:eastAsia="Calibri" w:hAnsi="Calibri"/>
          <w:b/>
          <w:bCs/>
          <w:color w:val="1B2A4A"/>
          <w:sz w:val="26"/>
          <w:szCs w:val="26"/>
        </w:rPr>
        <w:t xml:space="preserve">REVIEW &amp; APPROVAL</w:t>
      </w:r>
    </w:p>
    <w:p>
      <w:pPr>
        <w:spacing w:after="60" w:before="60"/>
      </w:pPr>
      <w:r>
        <w:rPr>
          <w:rFonts w:ascii="Calibri" w:cs="Calibri" w:eastAsia="Calibri" w:hAnsi="Calibri"/>
          <w:b w:val="false"/>
          <w:bCs w:val="false"/>
          <w:color w:val="000000"/>
          <w:sz w:val="20"/>
          <w:szCs w:val="20"/>
        </w:rPr>
        <w:t xml:space="preserve">This JHA has been reviewed and approved by the following authorized personnel:</w:t>
      </w:r>
    </w:p>
    <w:p>
      <w:pPr>
        <w:spacing w:before="10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20"/>
        <w:gridCol w:w="3120"/>
        <w:gridCol w:w="3120"/>
      </w:tblGrid>
      <w:tr>
        <w:tc>
          <w:tcPr>
            <w:tcW w:type="dxa" w:w="3120"/>
            <w:tcBorders>
              <w:top w:val="single" w:color="B0B0B0" w:sz="1"/>
              <w:left w:val="single" w:color="B0B0B0" w:sz="1"/>
              <w:bottom w:val="single" w:color="B0B0B0" w:sz="1"/>
              <w:right w:val="single" w:color="B0B0B0" w:sz="1"/>
            </w:tcBorders>
            <w:shd w:fill="1B2A4A" w:val="clear"/>
            <w:tcMar>
              <w:top w:type="dxa" w:w="50"/>
              <w:left w:type="dxa" w:w="80"/>
              <w:bottom w:type="dxa" w:w="50"/>
              <w:right w:type="dxa" w:w="80"/>
            </w:tcMar>
            <w:vAlign w:val="center"/>
          </w:tcPr>
          <w:p>
            <w:pPr>
              <w:spacing w:after="20" w:before="20"/>
              <w:jc w:val="center"/>
            </w:pPr>
            <w:r>
              <w:rPr>
                <w:rFonts w:ascii="Calibri" w:cs="Calibri" w:eastAsia="Calibri" w:hAnsi="Calibri"/>
                <w:b/>
                <w:bCs/>
                <w:color w:val="FFFFFF"/>
                <w:sz w:val="20"/>
                <w:szCs w:val="20"/>
              </w:rPr>
              <w:t xml:space="preserve">Role</w:t>
            </w:r>
          </w:p>
        </w:tc>
        <w:tc>
          <w:tcPr>
            <w:tcW w:type="dxa" w:w="3120"/>
            <w:tcBorders>
              <w:top w:val="single" w:color="B0B0B0" w:sz="1"/>
              <w:left w:val="single" w:color="B0B0B0" w:sz="1"/>
              <w:bottom w:val="single" w:color="B0B0B0" w:sz="1"/>
              <w:right w:val="single" w:color="B0B0B0" w:sz="1"/>
            </w:tcBorders>
            <w:shd w:fill="1B2A4A" w:val="clear"/>
            <w:tcMar>
              <w:top w:type="dxa" w:w="50"/>
              <w:left w:type="dxa" w:w="80"/>
              <w:bottom w:type="dxa" w:w="50"/>
              <w:right w:type="dxa" w:w="80"/>
            </w:tcMar>
            <w:vAlign w:val="center"/>
          </w:tcPr>
          <w:p>
            <w:pPr>
              <w:spacing w:after="20" w:before="20"/>
              <w:jc w:val="center"/>
            </w:pPr>
            <w:r>
              <w:rPr>
                <w:rFonts w:ascii="Calibri" w:cs="Calibri" w:eastAsia="Calibri" w:hAnsi="Calibri"/>
                <w:b/>
                <w:bCs/>
                <w:color w:val="FFFFFF"/>
                <w:sz w:val="20"/>
                <w:szCs w:val="20"/>
              </w:rPr>
              <w:t xml:space="preserve">Signature</w:t>
            </w:r>
          </w:p>
        </w:tc>
        <w:tc>
          <w:tcPr>
            <w:tcW w:type="dxa" w:w="3120"/>
            <w:tcBorders>
              <w:top w:val="single" w:color="B0B0B0" w:sz="1"/>
              <w:left w:val="single" w:color="B0B0B0" w:sz="1"/>
              <w:bottom w:val="single" w:color="B0B0B0" w:sz="1"/>
              <w:right w:val="single" w:color="B0B0B0" w:sz="1"/>
            </w:tcBorders>
            <w:shd w:fill="1B2A4A" w:val="clear"/>
            <w:tcMar>
              <w:top w:type="dxa" w:w="50"/>
              <w:left w:type="dxa" w:w="80"/>
              <w:bottom w:type="dxa" w:w="50"/>
              <w:right w:type="dxa" w:w="80"/>
            </w:tcMar>
            <w:vAlign w:val="center"/>
          </w:tcPr>
          <w:p>
            <w:pPr>
              <w:spacing w:after="20" w:before="20"/>
              <w:jc w:val="center"/>
            </w:pPr>
            <w:r>
              <w:rPr>
                <w:rFonts w:ascii="Calibri" w:cs="Calibri" w:eastAsia="Calibri" w:hAnsi="Calibri"/>
                <w:b/>
                <w:bCs/>
                <w:color w:val="FFFFFF"/>
                <w:sz w:val="20"/>
                <w:szCs w:val="20"/>
              </w:rPr>
              <w:t xml:space="preserve">Date</w:t>
            </w:r>
          </w:p>
        </w:tc>
      </w:tr>
      <w:tr>
        <w:trPr>
          <w:trHeight w:val="500" w:hRule="atLeast"/>
        </w:trPr>
        <w:tc>
          <w:tcPr>
            <w:tcW w:type="dxa" w:w="312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Prepared By (Safety Professional)</w:t>
            </w:r>
          </w:p>
        </w:tc>
        <w:tc>
          <w:tcPr>
            <w:tcW w:type="dxa" w:w="312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312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r>
      <w:tr>
        <w:trPr>
          <w:trHeight w:val="500" w:hRule="atLeast"/>
        </w:trPr>
        <w:tc>
          <w:tcPr>
            <w:tcW w:type="dxa" w:w="312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Reviewed By (Site Supervisor)</w:t>
            </w:r>
          </w:p>
        </w:tc>
        <w:tc>
          <w:tcPr>
            <w:tcW w:type="dxa" w:w="312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312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r>
      <w:tr>
        <w:trPr>
          <w:trHeight w:val="500" w:hRule="atLeast"/>
        </w:trPr>
        <w:tc>
          <w:tcPr>
            <w:tcW w:type="dxa" w:w="312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Approved By (Project Manager)</w:t>
            </w:r>
          </w:p>
        </w:tc>
        <w:tc>
          <w:tcPr>
            <w:tcW w:type="dxa" w:w="312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312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r>
      <w:tr>
        <w:trPr>
          <w:trHeight w:val="500" w:hRule="atLeast"/>
        </w:trPr>
        <w:tc>
          <w:tcPr>
            <w:tcW w:type="dxa" w:w="312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Client Representative (if required)</w:t>
            </w:r>
          </w:p>
        </w:tc>
        <w:tc>
          <w:tcPr>
            <w:tcW w:type="dxa" w:w="312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312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r>
    </w:tbl>
    <w:p>
      <w:pPr>
        <w:spacing w:after="120" w:before="300"/>
      </w:pPr>
      <w:r>
        <w:rPr>
          <w:rFonts w:ascii="Calibri" w:cs="Calibri" w:eastAsia="Calibri" w:hAnsi="Calibri"/>
          <w:b/>
          <w:bCs/>
          <w:color w:val="1B2A4A"/>
          <w:sz w:val="26"/>
          <w:szCs w:val="26"/>
        </w:rPr>
        <w:t xml:space="preserve">REVISION HISTORY</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560"/>
        <w:gridCol w:w="2600"/>
        <w:gridCol w:w="2600"/>
        <w:gridCol w:w="2600"/>
      </w:tblGrid>
      <w:tr>
        <w:tc>
          <w:tcPr>
            <w:tcW w:type="dxa" w:w="1560"/>
            <w:tcBorders>
              <w:top w:val="single" w:color="B0B0B0" w:sz="1"/>
              <w:left w:val="single" w:color="B0B0B0" w:sz="1"/>
              <w:bottom w:val="single" w:color="B0B0B0" w:sz="1"/>
              <w:right w:val="single" w:color="B0B0B0" w:sz="1"/>
            </w:tcBorders>
            <w:shd w:fill="1B2A4A" w:val="clear"/>
            <w:tcMar>
              <w:top w:type="dxa" w:w="50"/>
              <w:left w:type="dxa" w:w="80"/>
              <w:bottom w:type="dxa" w:w="50"/>
              <w:right w:type="dxa" w:w="80"/>
            </w:tcMar>
            <w:vAlign w:val="center"/>
          </w:tcPr>
          <w:p>
            <w:pPr>
              <w:spacing w:after="20" w:before="20"/>
              <w:jc w:val="center"/>
            </w:pPr>
            <w:r>
              <w:rPr>
                <w:rFonts w:ascii="Calibri" w:cs="Calibri" w:eastAsia="Calibri" w:hAnsi="Calibri"/>
                <w:b/>
                <w:bCs/>
                <w:color w:val="FFFFFF"/>
                <w:sz w:val="20"/>
                <w:szCs w:val="20"/>
              </w:rPr>
              <w:t xml:space="preserve">Revision</w:t>
            </w:r>
          </w:p>
        </w:tc>
        <w:tc>
          <w:tcPr>
            <w:tcW w:type="dxa" w:w="2600"/>
            <w:tcBorders>
              <w:top w:val="single" w:color="B0B0B0" w:sz="1"/>
              <w:left w:val="single" w:color="B0B0B0" w:sz="1"/>
              <w:bottom w:val="single" w:color="B0B0B0" w:sz="1"/>
              <w:right w:val="single" w:color="B0B0B0" w:sz="1"/>
            </w:tcBorders>
            <w:shd w:fill="1B2A4A" w:val="clear"/>
            <w:tcMar>
              <w:top w:type="dxa" w:w="50"/>
              <w:left w:type="dxa" w:w="80"/>
              <w:bottom w:type="dxa" w:w="50"/>
              <w:right w:type="dxa" w:w="80"/>
            </w:tcMar>
            <w:vAlign w:val="center"/>
          </w:tcPr>
          <w:p>
            <w:pPr>
              <w:spacing w:after="20" w:before="20"/>
              <w:jc w:val="center"/>
            </w:pPr>
            <w:r>
              <w:rPr>
                <w:rFonts w:ascii="Calibri" w:cs="Calibri" w:eastAsia="Calibri" w:hAnsi="Calibri"/>
                <w:b/>
                <w:bCs/>
                <w:color w:val="FFFFFF"/>
                <w:sz w:val="20"/>
                <w:szCs w:val="20"/>
              </w:rPr>
              <w:t xml:space="preserve">Date</w:t>
            </w:r>
          </w:p>
        </w:tc>
        <w:tc>
          <w:tcPr>
            <w:tcW w:type="dxa" w:w="2600"/>
            <w:tcBorders>
              <w:top w:val="single" w:color="B0B0B0" w:sz="1"/>
              <w:left w:val="single" w:color="B0B0B0" w:sz="1"/>
              <w:bottom w:val="single" w:color="B0B0B0" w:sz="1"/>
              <w:right w:val="single" w:color="B0B0B0" w:sz="1"/>
            </w:tcBorders>
            <w:shd w:fill="1B2A4A" w:val="clear"/>
            <w:tcMar>
              <w:top w:type="dxa" w:w="50"/>
              <w:left w:type="dxa" w:w="80"/>
              <w:bottom w:type="dxa" w:w="50"/>
              <w:right w:type="dxa" w:w="80"/>
            </w:tcMar>
            <w:vAlign w:val="center"/>
          </w:tcPr>
          <w:p>
            <w:pPr>
              <w:spacing w:after="20" w:before="20"/>
              <w:jc w:val="center"/>
            </w:pPr>
            <w:r>
              <w:rPr>
                <w:rFonts w:ascii="Calibri" w:cs="Calibri" w:eastAsia="Calibri" w:hAnsi="Calibri"/>
                <w:b/>
                <w:bCs/>
                <w:color w:val="FFFFFF"/>
                <w:sz w:val="20"/>
                <w:szCs w:val="20"/>
              </w:rPr>
              <w:t xml:space="preserve">Description</w:t>
            </w:r>
          </w:p>
        </w:tc>
        <w:tc>
          <w:tcPr>
            <w:tcW w:type="dxa" w:w="2600"/>
            <w:tcBorders>
              <w:top w:val="single" w:color="B0B0B0" w:sz="1"/>
              <w:left w:val="single" w:color="B0B0B0" w:sz="1"/>
              <w:bottom w:val="single" w:color="B0B0B0" w:sz="1"/>
              <w:right w:val="single" w:color="B0B0B0" w:sz="1"/>
            </w:tcBorders>
            <w:shd w:fill="1B2A4A" w:val="clear"/>
            <w:tcMar>
              <w:top w:type="dxa" w:w="50"/>
              <w:left w:type="dxa" w:w="80"/>
              <w:bottom w:type="dxa" w:w="50"/>
              <w:right w:type="dxa" w:w="80"/>
            </w:tcMar>
            <w:vAlign w:val="center"/>
          </w:tcPr>
          <w:p>
            <w:pPr>
              <w:spacing w:after="20" w:before="20"/>
              <w:jc w:val="center"/>
            </w:pPr>
            <w:r>
              <w:rPr>
                <w:rFonts w:ascii="Calibri" w:cs="Calibri" w:eastAsia="Calibri" w:hAnsi="Calibri"/>
                <w:b/>
                <w:bCs/>
                <w:color w:val="FFFFFF"/>
                <w:sz w:val="20"/>
                <w:szCs w:val="20"/>
              </w:rPr>
              <w:t xml:space="preserve">Approved By</w:t>
            </w:r>
          </w:p>
        </w:tc>
      </w:tr>
      <w:tr>
        <w:tc>
          <w:tcPr>
            <w:tcW w:type="dxa" w:w="156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center"/>
            </w:pPr>
            <w:r>
              <w:rPr>
                <w:rFonts w:ascii="Calibri" w:cs="Calibri" w:eastAsia="Calibri" w:hAnsi="Calibri"/>
                <w:b w:val="false"/>
                <w:bCs w:val="false"/>
                <w:color w:val="000000"/>
                <w:sz w:val="20"/>
                <w:szCs w:val="20"/>
              </w:rPr>
              <w:t xml:space="preserve">0</w:t>
            </w:r>
          </w:p>
        </w:tc>
        <w:tc>
          <w:tcPr>
            <w:tcW w:type="dxa" w:w="26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26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Initial Release</w:t>
            </w:r>
          </w:p>
        </w:tc>
        <w:tc>
          <w:tcPr>
            <w:tcW w:type="dxa" w:w="26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r>
      <w:tr>
        <w:tc>
          <w:tcPr>
            <w:tcW w:type="dxa" w:w="156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center"/>
            </w:pPr>
            <w:r>
              <w:rPr>
                <w:rFonts w:ascii="Calibri" w:cs="Calibri" w:eastAsia="Calibri" w:hAnsi="Calibri"/>
                <w:b w:val="false"/>
                <w:bCs w:val="false"/>
                <w:color w:val="000000"/>
                <w:sz w:val="20"/>
                <w:szCs w:val="20"/>
              </w:rPr>
              <w:t xml:space="preserve">1</w:t>
            </w:r>
          </w:p>
        </w:tc>
        <w:tc>
          <w:tcPr>
            <w:tcW w:type="dxa" w:w="26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26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26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r>
    </w:tbl>
    <w:p>
      <w:pPr>
        <w:spacing w:before="300"/>
      </w:pPr>
    </w:p>
    <w:p>
      <w:pPr>
        <w:spacing w:after="60" w:before="100"/>
      </w:pPr>
      <w:r>
        <w:rPr>
          <w:rFonts w:ascii="Calibri" w:cs="Calibri" w:eastAsia="Calibri" w:hAnsi="Calibri"/>
          <w:b/>
          <w:bCs/>
          <w:color w:val="1B2A4A"/>
          <w:sz w:val="18"/>
          <w:szCs w:val="18"/>
        </w:rPr>
        <w:t xml:space="preserve">DISCLAIMER: </w:t>
      </w:r>
      <w:r>
        <w:rPr>
          <w:rFonts w:ascii="Calibri" w:cs="Calibri" w:eastAsia="Calibri" w:hAnsi="Calibri"/>
          <w:color w:val="555555"/>
          <w:sz w:val="18"/>
          <w:szCs w:val="18"/>
        </w:rPr>
        <w:t xml:space="preserve">This Job Hazard Analysis is a guideline for identifying hazards and implementing controls. It does not replace site-specific safety plans, competent person assessments, or regulatory requirements. All workers must comply with applicable OSHA standards and company safety policies. This JHA must be reviewed and updated whenever work conditions change.</w:t>
      </w:r>
    </w:p>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Calibri" w:cs="Calibri" w:eastAsia="Calibri" w:hAnsi="Calibri"/>
        <w:color w:val="777777"/>
        <w:sz w:val="16"/>
        <w:szCs w:val="16"/>
      </w:rPr>
      <w:t xml:space="preserve">Page </w:t>
    </w:r>
    <w:r>
      <w:rPr>
        <w:rFonts w:ascii="Calibri" w:cs="Calibri" w:eastAsia="Calibri" w:hAnsi="Calibri"/>
        <w:color w:val="777777"/>
        <w:sz w:val="16"/>
        <w:szCs w:val="16"/>
      </w:rPr>
      <w:fldChar w:fldCharType="begin"/>
      <w:instrText xml:space="preserve">PAGE</w:instrText>
      <w:fldChar w:fldCharType="separate"/>
      <w:fldChar w:fldCharType="end"/>
    </w:r>
    <w:r>
      <w:rPr>
        <w:rFonts w:ascii="Calibri" w:cs="Calibri" w:eastAsia="Calibri" w:hAnsi="Calibri"/>
        <w:color w:val="777777"/>
        <w:sz w:val="16"/>
        <w:szCs w:val="16"/>
      </w:rPr>
      <w:t xml:space="preserve"> of </w:t>
    </w:r>
    <w:r>
      <w:rPr>
        <w:rFonts w:ascii="Calibri" w:cs="Calibri" w:eastAsia="Calibri" w:hAnsi="Calibri"/>
        <w:color w:val="777777"/>
        <w:sz w:val="16"/>
        <w:szCs w:val="16"/>
      </w:rPr>
      <w:fldChar w:fldCharType="begin"/>
      <w:instrText xml:space="preserve">NUMPAGES</w:instrText>
      <w:fldChar w:fldCharType="separate"/>
      <w:fldChar w:fldCharType="end"/>
    </w:r>
    <w:r>
      <w:rPr>
        <w:rFonts w:ascii="Calibri" w:cs="Calibri" w:eastAsia="Calibri" w:hAnsi="Calibri"/>
        <w:color w:val="AAAAAA"/>
        <w:sz w:val="14"/>
        <w:szCs w:val="14"/>
      </w:rPr>
      <w:t xml:space="preserve">  |  CONFIDENTIAL — Forbes Safety Solutions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jc w:val="right"/>
    </w:pPr>
    <w:r>
      <w:rPr>
        <w:rFonts w:ascii="Calibri" w:cs="Calibri" w:eastAsia="Calibri" w:hAnsi="Calibri"/>
        <w:i/>
        <w:iCs/>
        <w:color w:val="1B2A4A"/>
        <w:sz w:val="16"/>
        <w:szCs w:val="16"/>
      </w:rPr>
      <w:t xml:space="preserve">Forbes Safety Solutions</w:t>
    </w:r>
    <w:r>
      <w:rPr>
        <w:rFonts w:ascii="Calibri" w:cs="Calibri" w:eastAsia="Calibri" w:hAnsi="Calibri"/>
        <w:color w:val="999999"/>
        <w:sz w:val="16"/>
        <w:szCs w:val="16"/>
      </w:rPr>
      <w:t xml:space="preserve">  |  </w:t>
    </w:r>
    <w:r>
      <w:rPr>
        <w:rFonts w:ascii="Calibri" w:cs="Calibri" w:eastAsia="Calibri" w:hAnsi="Calibri"/>
        <w:i/>
        <w:iCs/>
        <w:color w:val="999999"/>
        <w:sz w:val="16"/>
        <w:szCs w:val="16"/>
      </w:rPr>
      <w:t xml:space="preserve">Mechanical Insulation / Pipe Wrapping</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0"/>
        <w:szCs w:val="20"/>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2026-03-16T00:49:58.046Z</dcterms:created>
  <dcterms:modified xsi:type="dcterms:W3CDTF">2026-03-16T00:49:58.046Z</dcterms:modified>
</cp:coreProperties>
</file>

<file path=docProps/custom.xml><?xml version="1.0" encoding="utf-8"?>
<Properties xmlns="http://schemas.openxmlformats.org/officeDocument/2006/custom-properties" xmlns:vt="http://schemas.openxmlformats.org/officeDocument/2006/docPropsVTypes"/>
</file>