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200"/>
        <w:jc w:val="center"/>
      </w:pPr>
      <w:r>
        <w:rPr>
          <w:rFonts w:ascii="Calibri" w:cs="Calibri" w:eastAsia="Calibri" w:hAnsi="Calibri"/>
          <w:b/>
          <w:bCs/>
          <w:color w:val="1B2A4A"/>
          <w:sz w:val="36"/>
          <w:szCs w:val="36"/>
        </w:rPr>
        <w:t xml:space="preserve">FORBES SAFETY SOLUTIONS</w:t>
      </w:r>
    </w:p>
    <w:p>
      <w:pPr>
        <w:spacing w:after="40" w:before="80"/>
        <w:jc w:val="center"/>
      </w:pPr>
      <w:r>
        <w:rPr>
          <w:rFonts w:ascii="Calibri" w:cs="Calibri" w:eastAsia="Calibri" w:hAnsi="Calibri"/>
          <w:b/>
          <w:bCs/>
          <w:color w:val="E8A838"/>
          <w:sz w:val="30"/>
          <w:szCs w:val="30"/>
        </w:rPr>
        <w:t xml:space="preserve">JOB HAZARD ANALYSIS</w:t>
      </w:r>
    </w:p>
    <w:p>
      <w:pPr>
        <w:spacing w:after="200" w:before="40"/>
        <w:jc w:val="center"/>
      </w:pPr>
      <w:r>
        <w:rPr>
          <w:rFonts w:ascii="Calibri" w:cs="Calibri" w:eastAsia="Calibri" w:hAnsi="Calibri"/>
          <w:b/>
          <w:bCs/>
          <w:color w:val="1B2A4A"/>
          <w:sz w:val="24"/>
          <w:szCs w:val="24"/>
        </w:rPr>
        <w:t xml:space="preserve">Waterproofing / Below-Grade Work</w:t>
      </w:r>
    </w:p>
    <w:p>
      <w:pPr>
        <w:spacing w:after="120" w:before="300"/>
      </w:pPr>
      <w:r>
        <w:rPr>
          <w:rFonts w:ascii="Calibri" w:cs="Calibri" w:eastAsia="Calibri" w:hAnsi="Calibri"/>
          <w:b/>
          <w:bCs/>
          <w:color w:val="1B2A4A"/>
          <w:sz w:val="26"/>
          <w:szCs w:val="26"/>
        </w:rPr>
        <w:t xml:space="preserve">REGULATORY REFERENCES</w:t>
      </w:r>
    </w:p>
    <w:p>
      <w:pPr>
        <w:spacing w:after="60" w:before="60"/>
      </w:pPr>
      <w:r>
        <w:rPr>
          <w:rFonts w:ascii="Calibri" w:cs="Calibri" w:eastAsia="Calibri" w:hAnsi="Calibri"/>
          <w:b w:val="false"/>
          <w:bCs w:val="false"/>
          <w:color w:val="000000"/>
          <w:sz w:val="20"/>
          <w:szCs w:val="20"/>
        </w:rPr>
        <w:t xml:space="preserve">• 29 CFR 1926 Subpart P — Excavations</w:t>
      </w:r>
    </w:p>
    <w:p>
      <w:pPr>
        <w:spacing w:after="60" w:before="60"/>
      </w:pPr>
      <w:r>
        <w:rPr>
          <w:rFonts w:ascii="Calibri" w:cs="Calibri" w:eastAsia="Calibri" w:hAnsi="Calibri"/>
          <w:b w:val="false"/>
          <w:bCs w:val="false"/>
          <w:color w:val="000000"/>
          <w:sz w:val="20"/>
          <w:szCs w:val="20"/>
        </w:rPr>
        <w:t xml:space="preserve">• 29 CFR 1926.55 — Gases, Vapors, Fumes, Dusts, and Mists</w:t>
      </w:r>
    </w:p>
    <w:p>
      <w:pPr>
        <w:spacing w:after="60" w:before="60"/>
      </w:pPr>
      <w:r>
        <w:rPr>
          <w:rFonts w:ascii="Calibri" w:cs="Calibri" w:eastAsia="Calibri" w:hAnsi="Calibri"/>
          <w:b w:val="false"/>
          <w:bCs w:val="false"/>
          <w:color w:val="000000"/>
          <w:sz w:val="20"/>
          <w:szCs w:val="20"/>
        </w:rPr>
        <w:t xml:space="preserve">• 29 CFR 1926.651 — Specific Excavation Requirements</w:t>
      </w:r>
    </w:p>
    <w:p>
      <w:pPr>
        <w:spacing w:after="60" w:before="60"/>
      </w:pPr>
      <w:r>
        <w:rPr>
          <w:rFonts w:ascii="Calibri" w:cs="Calibri" w:eastAsia="Calibri" w:hAnsi="Calibri"/>
          <w:b w:val="false"/>
          <w:bCs w:val="false"/>
          <w:color w:val="000000"/>
          <w:sz w:val="20"/>
          <w:szCs w:val="20"/>
        </w:rPr>
        <w:t xml:space="preserve">• 29 CFR 1926.652 — Requirements for Protective Systems</w:t>
      </w:r>
    </w:p>
    <w:p>
      <w:pPr>
        <w:spacing w:after="60" w:before="60"/>
      </w:pPr>
      <w:r>
        <w:rPr>
          <w:rFonts w:ascii="Calibri" w:cs="Calibri" w:eastAsia="Calibri" w:hAnsi="Calibri"/>
          <w:b w:val="false"/>
          <w:bCs w:val="false"/>
          <w:color w:val="000000"/>
          <w:sz w:val="20"/>
          <w:szCs w:val="20"/>
        </w:rPr>
        <w:t xml:space="preserve">• 29 CFR 1926.150-155 — Fire Protection and Prevention</w:t>
      </w:r>
    </w:p>
    <w:p>
      <w:pPr>
        <w:spacing w:after="60" w:before="60"/>
      </w:pPr>
      <w:r>
        <w:rPr>
          <w:rFonts w:ascii="Calibri" w:cs="Calibri" w:eastAsia="Calibri" w:hAnsi="Calibri"/>
          <w:b w:val="false"/>
          <w:bCs w:val="false"/>
          <w:color w:val="000000"/>
          <w:sz w:val="20"/>
          <w:szCs w:val="20"/>
        </w:rPr>
        <w:t xml:space="preserve">• OSHA Technical Manual, Section V, Ch. 2 — Excavations</w:t>
      </w:r>
    </w:p>
    <w:p>
      <w:pPr>
        <w:spacing w:after="120" w:before="300"/>
      </w:pPr>
      <w:r>
        <w:rPr>
          <w:rFonts w:ascii="Calibri" w:cs="Calibri" w:eastAsia="Calibri" w:hAnsi="Calibri"/>
          <w:b/>
          <w:bCs/>
          <w:color w:val="1B2A4A"/>
          <w:sz w:val="26"/>
          <w:szCs w:val="26"/>
        </w:rPr>
        <w:t xml:space="preserve">SCOPE &amp; DESCRIPTION</w:t>
      </w:r>
    </w:p>
    <w:p>
      <w:pPr>
        <w:spacing w:after="60" w:before="60"/>
      </w:pPr>
      <w:r>
        <w:rPr>
          <w:rFonts w:ascii="Calibri" w:cs="Calibri" w:eastAsia="Calibri" w:hAnsi="Calibri"/>
          <w:b w:val="false"/>
          <w:bCs w:val="false"/>
          <w:color w:val="000000"/>
          <w:sz w:val="20"/>
          <w:szCs w:val="20"/>
        </w:rPr>
        <w:t xml:space="preserve">This JHA covers waterproofing and below-grade construction operations including excavation access, surface preparation, primer and membrane application (cold-applied and torch/hot-applied), seam sealing, drainage board installation, and backfill coordination. Work occurs adjacent to or within excavations, creating combined hazards of cave-in, solvent vapor exposure, thermal burns, falls, and struck-by incidents from overhead operations.</w:t>
      </w:r>
    </w:p>
    <w:p>
      <w:pPr>
        <w:spacing w:after="120" w:before="300"/>
      </w:pPr>
      <w:r>
        <w:rPr>
          <w:rFonts w:ascii="Calibri" w:cs="Calibri" w:eastAsia="Calibri" w:hAnsi="Calibri"/>
          <w:b/>
          <w:bCs/>
          <w:color w:val="1B2A4A"/>
          <w:sz w:val="26"/>
          <w:szCs w:val="26"/>
        </w:rPr>
        <w:t xml:space="preserve">PROJECT INFORMATION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c>
          <w:tcPr>
            <w:tcW w:type="dxa" w:w="2340"/>
            <w:tcBorders>
              <w:top w:val="single" w:color="B0B0B0" w:sz="1"/>
              <w:left w:val="single" w:color="B0B0B0" w:sz="1"/>
              <w:bottom w:val="single" w:color="B0B0B0" w:sz="1"/>
              <w:right w:val="single" w:color="B0B0B0" w:sz="1"/>
            </w:tcBorders>
            <w:shd w:fill="F2F2F2" w:val="clear"/>
            <w:tcMar>
              <w:top w:type="dxa" w:w="50"/>
              <w:left w:type="dxa" w:w="80"/>
              <w:bottom w:type="dxa" w:w="50"/>
              <w:right w:type="dxa" w:w="80"/>
            </w:tcMar>
            <w:vAlign w:val="center"/>
          </w:tcPr>
          <w:p>
            <w:pPr>
              <w:spacing w:after="20" w:before="20"/>
              <w:jc w:val="left"/>
            </w:pPr>
            <w:r>
              <w:rPr>
                <w:rFonts w:ascii="Calibri" w:cs="Calibri" w:eastAsia="Calibri" w:hAnsi="Calibri"/>
                <w:b/>
                <w:bCs/>
                <w:color w:val="000000"/>
                <w:sz w:val="20"/>
                <w:szCs w:val="20"/>
              </w:rPr>
              <w:t xml:space="preserve">Project Name:</w:t>
            </w:r>
          </w:p>
        </w:tc>
        <w:tc>
          <w:tcPr>
            <w:tcW w:type="dxa" w:w="234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340"/>
            <w:tcBorders>
              <w:top w:val="single" w:color="B0B0B0" w:sz="1"/>
              <w:left w:val="single" w:color="B0B0B0" w:sz="1"/>
              <w:bottom w:val="single" w:color="B0B0B0" w:sz="1"/>
              <w:right w:val="single" w:color="B0B0B0" w:sz="1"/>
            </w:tcBorders>
            <w:shd w:fill="F2F2F2" w:val="clear"/>
            <w:tcMar>
              <w:top w:type="dxa" w:w="50"/>
              <w:left w:type="dxa" w:w="80"/>
              <w:bottom w:type="dxa" w:w="50"/>
              <w:right w:type="dxa" w:w="80"/>
            </w:tcMar>
            <w:vAlign w:val="center"/>
          </w:tcPr>
          <w:p>
            <w:pPr>
              <w:spacing w:after="20" w:before="20"/>
              <w:jc w:val="left"/>
            </w:pPr>
            <w:r>
              <w:rPr>
                <w:rFonts w:ascii="Calibri" w:cs="Calibri" w:eastAsia="Calibri" w:hAnsi="Calibri"/>
                <w:b/>
                <w:bCs/>
                <w:color w:val="000000"/>
                <w:sz w:val="20"/>
                <w:szCs w:val="20"/>
              </w:rPr>
              <w:t xml:space="preserve">Date:</w:t>
            </w:r>
          </w:p>
        </w:tc>
        <w:tc>
          <w:tcPr>
            <w:tcW w:type="dxa" w:w="234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c>
          <w:tcPr>
            <w:tcW w:type="dxa" w:w="2340"/>
            <w:tcBorders>
              <w:top w:val="single" w:color="B0B0B0" w:sz="1"/>
              <w:left w:val="single" w:color="B0B0B0" w:sz="1"/>
              <w:bottom w:val="single" w:color="B0B0B0" w:sz="1"/>
              <w:right w:val="single" w:color="B0B0B0" w:sz="1"/>
            </w:tcBorders>
            <w:shd w:fill="F2F2F2" w:val="clear"/>
            <w:tcMar>
              <w:top w:type="dxa" w:w="50"/>
              <w:left w:type="dxa" w:w="80"/>
              <w:bottom w:type="dxa" w:w="50"/>
              <w:right w:type="dxa" w:w="80"/>
            </w:tcMar>
            <w:vAlign w:val="center"/>
          </w:tcPr>
          <w:p>
            <w:pPr>
              <w:spacing w:after="20" w:before="20"/>
              <w:jc w:val="left"/>
            </w:pPr>
            <w:r>
              <w:rPr>
                <w:rFonts w:ascii="Calibri" w:cs="Calibri" w:eastAsia="Calibri" w:hAnsi="Calibri"/>
                <w:b/>
                <w:bCs/>
                <w:color w:val="000000"/>
                <w:sz w:val="20"/>
                <w:szCs w:val="20"/>
              </w:rPr>
              <w:t xml:space="preserve">Project Number:</w:t>
            </w:r>
          </w:p>
        </w:tc>
        <w:tc>
          <w:tcPr>
            <w:tcW w:type="dxa" w:w="234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340"/>
            <w:tcBorders>
              <w:top w:val="single" w:color="B0B0B0" w:sz="1"/>
              <w:left w:val="single" w:color="B0B0B0" w:sz="1"/>
              <w:bottom w:val="single" w:color="B0B0B0" w:sz="1"/>
              <w:right w:val="single" w:color="B0B0B0" w:sz="1"/>
            </w:tcBorders>
            <w:shd w:fill="F2F2F2" w:val="clear"/>
            <w:tcMar>
              <w:top w:type="dxa" w:w="50"/>
              <w:left w:type="dxa" w:w="80"/>
              <w:bottom w:type="dxa" w:w="50"/>
              <w:right w:type="dxa" w:w="80"/>
            </w:tcMar>
            <w:vAlign w:val="center"/>
          </w:tcPr>
          <w:p>
            <w:pPr>
              <w:spacing w:after="20" w:before="20"/>
              <w:jc w:val="left"/>
            </w:pPr>
            <w:r>
              <w:rPr>
                <w:rFonts w:ascii="Calibri" w:cs="Calibri" w:eastAsia="Calibri" w:hAnsi="Calibri"/>
                <w:b/>
                <w:bCs/>
                <w:color w:val="000000"/>
                <w:sz w:val="20"/>
                <w:szCs w:val="20"/>
              </w:rPr>
              <w:t xml:space="preserve">Location:</w:t>
            </w:r>
          </w:p>
        </w:tc>
        <w:tc>
          <w:tcPr>
            <w:tcW w:type="dxa" w:w="234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c>
          <w:tcPr>
            <w:tcW w:type="dxa" w:w="2340"/>
            <w:tcBorders>
              <w:top w:val="single" w:color="B0B0B0" w:sz="1"/>
              <w:left w:val="single" w:color="B0B0B0" w:sz="1"/>
              <w:bottom w:val="single" w:color="B0B0B0" w:sz="1"/>
              <w:right w:val="single" w:color="B0B0B0" w:sz="1"/>
            </w:tcBorders>
            <w:shd w:fill="F2F2F2" w:val="clear"/>
            <w:tcMar>
              <w:top w:type="dxa" w:w="50"/>
              <w:left w:type="dxa" w:w="80"/>
              <w:bottom w:type="dxa" w:w="50"/>
              <w:right w:type="dxa" w:w="80"/>
            </w:tcMar>
            <w:vAlign w:val="center"/>
          </w:tcPr>
          <w:p>
            <w:pPr>
              <w:spacing w:after="20" w:before="20"/>
              <w:jc w:val="left"/>
            </w:pPr>
            <w:r>
              <w:rPr>
                <w:rFonts w:ascii="Calibri" w:cs="Calibri" w:eastAsia="Calibri" w:hAnsi="Calibri"/>
                <w:b/>
                <w:bCs/>
                <w:color w:val="000000"/>
                <w:sz w:val="20"/>
                <w:szCs w:val="20"/>
              </w:rPr>
              <w:t xml:space="preserve">Contractor:</w:t>
            </w:r>
          </w:p>
        </w:tc>
        <w:tc>
          <w:tcPr>
            <w:tcW w:type="dxa" w:w="234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340"/>
            <w:tcBorders>
              <w:top w:val="single" w:color="B0B0B0" w:sz="1"/>
              <w:left w:val="single" w:color="B0B0B0" w:sz="1"/>
              <w:bottom w:val="single" w:color="B0B0B0" w:sz="1"/>
              <w:right w:val="single" w:color="B0B0B0" w:sz="1"/>
            </w:tcBorders>
            <w:shd w:fill="F2F2F2" w:val="clear"/>
            <w:tcMar>
              <w:top w:type="dxa" w:w="50"/>
              <w:left w:type="dxa" w:w="80"/>
              <w:bottom w:type="dxa" w:w="50"/>
              <w:right w:type="dxa" w:w="80"/>
            </w:tcMar>
            <w:vAlign w:val="center"/>
          </w:tcPr>
          <w:p>
            <w:pPr>
              <w:spacing w:after="20" w:before="20"/>
              <w:jc w:val="left"/>
            </w:pPr>
            <w:r>
              <w:rPr>
                <w:rFonts w:ascii="Calibri" w:cs="Calibri" w:eastAsia="Calibri" w:hAnsi="Calibri"/>
                <w:b/>
                <w:bCs/>
                <w:color w:val="000000"/>
                <w:sz w:val="20"/>
                <w:szCs w:val="20"/>
              </w:rPr>
              <w:t xml:space="preserve">Supervisor:</w:t>
            </w:r>
          </w:p>
        </w:tc>
        <w:tc>
          <w:tcPr>
            <w:tcW w:type="dxa" w:w="234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c>
          <w:tcPr>
            <w:tcW w:type="dxa" w:w="2340"/>
            <w:tcBorders>
              <w:top w:val="single" w:color="B0B0B0" w:sz="1"/>
              <w:left w:val="single" w:color="B0B0B0" w:sz="1"/>
              <w:bottom w:val="single" w:color="B0B0B0" w:sz="1"/>
              <w:right w:val="single" w:color="B0B0B0" w:sz="1"/>
            </w:tcBorders>
            <w:shd w:fill="F2F2F2" w:val="clear"/>
            <w:tcMar>
              <w:top w:type="dxa" w:w="50"/>
              <w:left w:type="dxa" w:w="80"/>
              <w:bottom w:type="dxa" w:w="50"/>
              <w:right w:type="dxa" w:w="80"/>
            </w:tcMar>
            <w:vAlign w:val="center"/>
          </w:tcPr>
          <w:p>
            <w:pPr>
              <w:spacing w:after="20" w:before="20"/>
              <w:jc w:val="left"/>
            </w:pPr>
            <w:r>
              <w:rPr>
                <w:rFonts w:ascii="Calibri" w:cs="Calibri" w:eastAsia="Calibri" w:hAnsi="Calibri"/>
                <w:b/>
                <w:bCs/>
                <w:color w:val="000000"/>
                <w:sz w:val="20"/>
                <w:szCs w:val="20"/>
              </w:rPr>
              <w:t xml:space="preserve">JHA Prepared By:</w:t>
            </w:r>
          </w:p>
        </w:tc>
        <w:tc>
          <w:tcPr>
            <w:tcW w:type="dxa" w:w="234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340"/>
            <w:tcBorders>
              <w:top w:val="single" w:color="B0B0B0" w:sz="1"/>
              <w:left w:val="single" w:color="B0B0B0" w:sz="1"/>
              <w:bottom w:val="single" w:color="B0B0B0" w:sz="1"/>
              <w:right w:val="single" w:color="B0B0B0" w:sz="1"/>
            </w:tcBorders>
            <w:shd w:fill="F2F2F2" w:val="clear"/>
            <w:tcMar>
              <w:top w:type="dxa" w:w="50"/>
              <w:left w:type="dxa" w:w="80"/>
              <w:bottom w:type="dxa" w:w="50"/>
              <w:right w:type="dxa" w:w="80"/>
            </w:tcMar>
            <w:vAlign w:val="center"/>
          </w:tcPr>
          <w:p>
            <w:pPr>
              <w:spacing w:after="20" w:before="20"/>
              <w:jc w:val="left"/>
            </w:pPr>
            <w:r>
              <w:rPr>
                <w:rFonts w:ascii="Calibri" w:cs="Calibri" w:eastAsia="Calibri" w:hAnsi="Calibri"/>
                <w:b/>
                <w:bCs/>
                <w:color w:val="000000"/>
                <w:sz w:val="20"/>
                <w:szCs w:val="20"/>
              </w:rPr>
              <w:t xml:space="preserve">Reviewed By:</w:t>
            </w:r>
          </w:p>
        </w:tc>
        <w:tc>
          <w:tcPr>
            <w:tcW w:type="dxa" w:w="234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bl>
    <w:p>
      <w:r>
        <w:br w:type="page"/>
      </w:r>
    </w:p>
    <w:p>
      <w:pPr>
        <w:spacing w:after="120" w:before="300"/>
      </w:pPr>
      <w:r>
        <w:rPr>
          <w:rFonts w:ascii="Calibri" w:cs="Calibri" w:eastAsia="Calibri" w:hAnsi="Calibri"/>
          <w:b/>
          <w:bCs/>
          <w:color w:val="1B2A4A"/>
          <w:sz w:val="26"/>
          <w:szCs w:val="26"/>
        </w:rPr>
        <w:t xml:space="preserve">JOB HAZARD ANALYSIS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2200"/>
        <w:gridCol w:w="900"/>
        <w:gridCol w:w="4060"/>
      </w:tblGrid>
      <w:tr>
        <w:trPr>
          <w:tblHeader/>
        </w:trPr>
        <w:tc>
          <w:tcPr>
            <w:tcW w:type="dxa" w:w="220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Task Step</w:t>
            </w:r>
          </w:p>
        </w:tc>
        <w:tc>
          <w:tcPr>
            <w:tcW w:type="dxa" w:w="220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Hazard</w:t>
            </w:r>
          </w:p>
        </w:tc>
        <w:tc>
          <w:tcPr>
            <w:tcW w:type="dxa" w:w="90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Risk Level
(H/M/L)</w:t>
            </w:r>
          </w:p>
        </w:tc>
        <w:tc>
          <w:tcPr>
            <w:tcW w:type="dxa" w:w="406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Control Measures</w:t>
            </w:r>
          </w:p>
        </w:tc>
      </w:tr>
      <w:tr>
        <w:tc>
          <w:tcPr>
            <w:tcW w:type="dxa" w:w="220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1. Excavation Access</w:t>
            </w:r>
          </w:p>
        </w:tc>
        <w:tc>
          <w:tcPr>
            <w:tcW w:type="dxa" w:w="220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Cave-in / wall collapse</w:t>
            </w:r>
          </w:p>
          <w:p>
            <w:pPr>
              <w:spacing w:after="10" w:before="10"/>
            </w:pPr>
            <w:r>
              <w:rPr>
                <w:rFonts w:ascii="Calibri" w:cs="Calibri" w:eastAsia="Calibri" w:hAnsi="Calibri"/>
                <w:b w:val="false"/>
                <w:bCs w:val="false"/>
                <w:color w:val="000000"/>
                <w:sz w:val="19"/>
                <w:szCs w:val="19"/>
              </w:rPr>
              <w:t xml:space="preserve">Falls into excavation</w:t>
            </w:r>
          </w:p>
          <w:p>
            <w:pPr>
              <w:spacing w:after="10" w:before="10"/>
            </w:pPr>
            <w:r>
              <w:rPr>
                <w:rFonts w:ascii="Calibri" w:cs="Calibri" w:eastAsia="Calibri" w:hAnsi="Calibri"/>
                <w:b w:val="false"/>
                <w:bCs w:val="false"/>
                <w:color w:val="000000"/>
                <w:sz w:val="19"/>
                <w:szCs w:val="19"/>
              </w:rPr>
              <w:t xml:space="preserve">Struck by falling objects from surface</w:t>
            </w:r>
          </w:p>
          <w:p>
            <w:pPr>
              <w:spacing w:after="10" w:before="10"/>
            </w:pPr>
            <w:r>
              <w:rPr>
                <w:rFonts w:ascii="Calibri" w:cs="Calibri" w:eastAsia="Calibri" w:hAnsi="Calibri"/>
                <w:b w:val="false"/>
                <w:bCs w:val="false"/>
                <w:color w:val="000000"/>
                <w:sz w:val="19"/>
                <w:szCs w:val="19"/>
              </w:rPr>
              <w:t xml:space="preserve">Hazardous atmosphere (gases in soil)</w:t>
            </w:r>
          </w:p>
        </w:tc>
        <w:tc>
          <w:tcPr>
            <w:tcW w:type="dxa" w:w="900"/>
            <w:tcBorders>
              <w:top w:val="single" w:color="B0B0B0" w:sz="1"/>
              <w:left w:val="single" w:color="B0B0B0" w:sz="1"/>
              <w:bottom w:val="single" w:color="B0B0B0" w:sz="1"/>
              <w:right w:val="single" w:color="B0B0B0" w:sz="1"/>
            </w:tcBorders>
            <w:shd w:fill="FADBD8" w:val="clear"/>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19"/>
                <w:szCs w:val="19"/>
              </w:rPr>
              <w:t xml:space="preserve">H</w:t>
            </w:r>
          </w:p>
        </w:tc>
        <w:tc>
          <w:tcPr>
            <w:tcW w:type="dxa" w:w="406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Competent person must inspect excavation daily and after rain</w:t>
            </w:r>
          </w:p>
          <w:p>
            <w:pPr>
              <w:spacing w:after="10" w:before="10"/>
            </w:pPr>
            <w:r>
              <w:rPr>
                <w:rFonts w:ascii="Calibri" w:cs="Calibri" w:eastAsia="Calibri" w:hAnsi="Calibri"/>
                <w:b w:val="false"/>
                <w:bCs w:val="false"/>
                <w:color w:val="000000"/>
                <w:sz w:val="19"/>
                <w:szCs w:val="19"/>
              </w:rPr>
              <w:t xml:space="preserve">Shoring, sloping, or shielding per Subpart P</w:t>
            </w:r>
          </w:p>
          <w:p>
            <w:pPr>
              <w:spacing w:after="10" w:before="10"/>
            </w:pPr>
            <w:r>
              <w:rPr>
                <w:rFonts w:ascii="Calibri" w:cs="Calibri" w:eastAsia="Calibri" w:hAnsi="Calibri"/>
                <w:b w:val="false"/>
                <w:bCs w:val="false"/>
                <w:color w:val="000000"/>
                <w:sz w:val="19"/>
                <w:szCs w:val="19"/>
              </w:rPr>
              <w:t xml:space="preserve">Ladder access within 25 ft of all workers</w:t>
            </w:r>
          </w:p>
          <w:p>
            <w:pPr>
              <w:spacing w:after="10" w:before="10"/>
            </w:pPr>
            <w:r>
              <w:rPr>
                <w:rFonts w:ascii="Calibri" w:cs="Calibri" w:eastAsia="Calibri" w:hAnsi="Calibri"/>
                <w:b w:val="false"/>
                <w:bCs w:val="false"/>
                <w:color w:val="000000"/>
                <w:sz w:val="19"/>
                <w:szCs w:val="19"/>
              </w:rPr>
              <w:t xml:space="preserve">Barricades and warning signs around excavation perimeter</w:t>
            </w:r>
          </w:p>
          <w:p>
            <w:pPr>
              <w:spacing w:after="10" w:before="10"/>
            </w:pPr>
            <w:r>
              <w:rPr>
                <w:rFonts w:ascii="Calibri" w:cs="Calibri" w:eastAsia="Calibri" w:hAnsi="Calibri"/>
                <w:b w:val="false"/>
                <w:bCs w:val="false"/>
                <w:color w:val="000000"/>
                <w:sz w:val="19"/>
                <w:szCs w:val="19"/>
              </w:rPr>
              <w:t xml:space="preserve">Atmospheric testing before entry (O2, LEL, H2S, CO)</w:t>
            </w:r>
          </w:p>
          <w:p>
            <w:pPr>
              <w:spacing w:after="10" w:before="10"/>
            </w:pPr>
            <w:r>
              <w:rPr>
                <w:rFonts w:ascii="Calibri" w:cs="Calibri" w:eastAsia="Calibri" w:hAnsi="Calibri"/>
                <w:b w:val="false"/>
                <w:bCs w:val="false"/>
                <w:color w:val="000000"/>
                <w:sz w:val="19"/>
                <w:szCs w:val="19"/>
              </w:rPr>
              <w:t xml:space="preserve">Hard hats mandatory for all workers near excavation</w:t>
            </w:r>
          </w:p>
        </w:tc>
      </w:tr>
      <w:tr>
        <w:tc>
          <w:tcPr>
            <w:tcW w:type="dxa" w:w="220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2. Surface Preparation</w:t>
            </w:r>
          </w:p>
        </w:tc>
        <w:tc>
          <w:tcPr>
            <w:tcW w:type="dxa" w:w="220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Dust inhalation from grinding/cleaning</w:t>
            </w:r>
          </w:p>
          <w:p>
            <w:pPr>
              <w:spacing w:after="10" w:before="10"/>
            </w:pPr>
            <w:r>
              <w:rPr>
                <w:rFonts w:ascii="Calibri" w:cs="Calibri" w:eastAsia="Calibri" w:hAnsi="Calibri"/>
                <w:b w:val="false"/>
                <w:bCs w:val="false"/>
                <w:color w:val="000000"/>
                <w:sz w:val="19"/>
                <w:szCs w:val="19"/>
              </w:rPr>
              <w:t xml:space="preserve">Hand/arm vibration from power tools</w:t>
            </w:r>
          </w:p>
          <w:p>
            <w:pPr>
              <w:spacing w:after="10" w:before="10"/>
            </w:pPr>
            <w:r>
              <w:rPr>
                <w:rFonts w:ascii="Calibri" w:cs="Calibri" w:eastAsia="Calibri" w:hAnsi="Calibri"/>
                <w:b w:val="false"/>
                <w:bCs w:val="false"/>
                <w:color w:val="000000"/>
                <w:sz w:val="19"/>
                <w:szCs w:val="19"/>
              </w:rPr>
              <w:t xml:space="preserve">Struck by debris</w:t>
            </w:r>
          </w:p>
          <w:p>
            <w:pPr>
              <w:spacing w:after="10" w:before="10"/>
            </w:pPr>
            <w:r>
              <w:rPr>
                <w:rFonts w:ascii="Calibri" w:cs="Calibri" w:eastAsia="Calibri" w:hAnsi="Calibri"/>
                <w:b w:val="false"/>
                <w:bCs w:val="false"/>
                <w:color w:val="000000"/>
                <w:sz w:val="19"/>
                <w:szCs w:val="19"/>
              </w:rPr>
              <w:t xml:space="preserve">Proximity to excavation edge</w:t>
            </w:r>
          </w:p>
        </w:tc>
        <w:tc>
          <w:tcPr>
            <w:tcW w:type="dxa" w:w="900"/>
            <w:tcBorders>
              <w:top w:val="single" w:color="B0B0B0" w:sz="1"/>
              <w:left w:val="single" w:color="B0B0B0" w:sz="1"/>
              <w:bottom w:val="single" w:color="B0B0B0" w:sz="1"/>
              <w:right w:val="single" w:color="B0B0B0" w:sz="1"/>
            </w:tcBorders>
            <w:shd w:fill="FEF5E7" w:val="clear"/>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19"/>
                <w:szCs w:val="19"/>
              </w:rPr>
              <w:t xml:space="preserve">M</w:t>
            </w:r>
          </w:p>
        </w:tc>
        <w:tc>
          <w:tcPr>
            <w:tcW w:type="dxa" w:w="406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Dust mask / P100 respirator for grinding operations</w:t>
            </w:r>
          </w:p>
          <w:p>
            <w:pPr>
              <w:spacing w:after="10" w:before="10"/>
            </w:pPr>
            <w:r>
              <w:rPr>
                <w:rFonts w:ascii="Calibri" w:cs="Calibri" w:eastAsia="Calibri" w:hAnsi="Calibri"/>
                <w:b w:val="false"/>
                <w:bCs w:val="false"/>
                <w:color w:val="000000"/>
                <w:sz w:val="19"/>
                <w:szCs w:val="19"/>
              </w:rPr>
              <w:t xml:space="preserve">Anti-vibration gloves; limit continuous tool use to 30 min</w:t>
            </w:r>
          </w:p>
          <w:p>
            <w:pPr>
              <w:spacing w:after="10" w:before="10"/>
            </w:pPr>
            <w:r>
              <w:rPr>
                <w:rFonts w:ascii="Calibri" w:cs="Calibri" w:eastAsia="Calibri" w:hAnsi="Calibri"/>
                <w:b w:val="false"/>
                <w:bCs w:val="false"/>
                <w:color w:val="000000"/>
                <w:sz w:val="19"/>
                <w:szCs w:val="19"/>
              </w:rPr>
              <w:t xml:space="preserve">Face shield and safety glasses for grinding</w:t>
            </w:r>
          </w:p>
          <w:p>
            <w:pPr>
              <w:spacing w:after="10" w:before="10"/>
            </w:pPr>
            <w:r>
              <w:rPr>
                <w:rFonts w:ascii="Calibri" w:cs="Calibri" w:eastAsia="Calibri" w:hAnsi="Calibri"/>
                <w:b w:val="false"/>
                <w:bCs w:val="false"/>
                <w:color w:val="000000"/>
                <w:sz w:val="19"/>
                <w:szCs w:val="19"/>
              </w:rPr>
              <w:t xml:space="preserve">Maintain 2 ft setback from unprotected excavation edge</w:t>
            </w:r>
          </w:p>
          <w:p>
            <w:pPr>
              <w:spacing w:after="10" w:before="10"/>
            </w:pPr>
            <w:r>
              <w:rPr>
                <w:rFonts w:ascii="Calibri" w:cs="Calibri" w:eastAsia="Calibri" w:hAnsi="Calibri"/>
                <w:b w:val="false"/>
                <w:bCs w:val="false"/>
                <w:color w:val="000000"/>
                <w:sz w:val="19"/>
                <w:szCs w:val="19"/>
              </w:rPr>
              <w:t xml:space="preserve">Secure tools to prevent dropping into excavation</w:t>
            </w:r>
          </w:p>
        </w:tc>
      </w:tr>
      <w:tr>
        <w:tc>
          <w:tcPr>
            <w:tcW w:type="dxa" w:w="220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3. Primer / Membrane Application</w:t>
            </w:r>
          </w:p>
        </w:tc>
        <w:tc>
          <w:tcPr>
            <w:tcW w:type="dxa" w:w="220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Solvent vapor inhalation (high VOC primers)</w:t>
            </w:r>
          </w:p>
          <w:p>
            <w:pPr>
              <w:spacing w:after="10" w:before="10"/>
            </w:pPr>
            <w:r>
              <w:rPr>
                <w:rFonts w:ascii="Calibri" w:cs="Calibri" w:eastAsia="Calibri" w:hAnsi="Calibri"/>
                <w:b w:val="false"/>
                <w:bCs w:val="false"/>
                <w:color w:val="000000"/>
                <w:sz w:val="19"/>
                <w:szCs w:val="19"/>
              </w:rPr>
              <w:t xml:space="preserve">Skin/eye contact with bituminous products</w:t>
            </w:r>
          </w:p>
          <w:p>
            <w:pPr>
              <w:spacing w:after="10" w:before="10"/>
            </w:pPr>
            <w:r>
              <w:rPr>
                <w:rFonts w:ascii="Calibri" w:cs="Calibri" w:eastAsia="Calibri" w:hAnsi="Calibri"/>
                <w:b w:val="false"/>
                <w:bCs w:val="false"/>
                <w:color w:val="000000"/>
                <w:sz w:val="19"/>
                <w:szCs w:val="19"/>
              </w:rPr>
              <w:t xml:space="preserve">Slippery surfaces from adhesive overspray</w:t>
            </w:r>
          </w:p>
          <w:p>
            <w:pPr>
              <w:spacing w:after="10" w:before="10"/>
            </w:pPr>
            <w:r>
              <w:rPr>
                <w:rFonts w:ascii="Calibri" w:cs="Calibri" w:eastAsia="Calibri" w:hAnsi="Calibri"/>
                <w:b w:val="false"/>
                <w:bCs w:val="false"/>
                <w:color w:val="000000"/>
                <w:sz w:val="19"/>
                <w:szCs w:val="19"/>
              </w:rPr>
              <w:t xml:space="preserve">Torch/hot-applied membrane — burn hazard</w:t>
            </w:r>
          </w:p>
        </w:tc>
        <w:tc>
          <w:tcPr>
            <w:tcW w:type="dxa" w:w="900"/>
            <w:tcBorders>
              <w:top w:val="single" w:color="B0B0B0" w:sz="1"/>
              <w:left w:val="single" w:color="B0B0B0" w:sz="1"/>
              <w:bottom w:val="single" w:color="B0B0B0" w:sz="1"/>
              <w:right w:val="single" w:color="B0B0B0" w:sz="1"/>
            </w:tcBorders>
            <w:shd w:fill="FADBD8" w:val="clear"/>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19"/>
                <w:szCs w:val="19"/>
              </w:rPr>
              <w:t xml:space="preserve">H</w:t>
            </w:r>
          </w:p>
        </w:tc>
        <w:tc>
          <w:tcPr>
            <w:tcW w:type="dxa" w:w="406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Organic vapor respirator in below-grade applications</w:t>
            </w:r>
          </w:p>
          <w:p>
            <w:pPr>
              <w:spacing w:after="10" w:before="10"/>
            </w:pPr>
            <w:r>
              <w:rPr>
                <w:rFonts w:ascii="Calibri" w:cs="Calibri" w:eastAsia="Calibri" w:hAnsi="Calibri"/>
                <w:b w:val="false"/>
                <w:bCs w:val="false"/>
                <w:color w:val="000000"/>
                <w:sz w:val="19"/>
                <w:szCs w:val="19"/>
              </w:rPr>
              <w:t xml:space="preserve">Forced-air ventilation to maintain vapors below PEL</w:t>
            </w:r>
          </w:p>
          <w:p>
            <w:pPr>
              <w:spacing w:after="10" w:before="10"/>
            </w:pPr>
            <w:r>
              <w:rPr>
                <w:rFonts w:ascii="Calibri" w:cs="Calibri" w:eastAsia="Calibri" w:hAnsi="Calibri"/>
                <w:b w:val="false"/>
                <w:bCs w:val="false"/>
                <w:color w:val="000000"/>
                <w:sz w:val="19"/>
                <w:szCs w:val="19"/>
              </w:rPr>
              <w:t xml:space="preserve">Chemical-resistant gloves, long sleeves, splash goggles</w:t>
            </w:r>
          </w:p>
          <w:p>
            <w:pPr>
              <w:spacing w:after="10" w:before="10"/>
            </w:pPr>
            <w:r>
              <w:rPr>
                <w:rFonts w:ascii="Calibri" w:cs="Calibri" w:eastAsia="Calibri" w:hAnsi="Calibri"/>
                <w:b w:val="false"/>
                <w:bCs w:val="false"/>
                <w:color w:val="000000"/>
                <w:sz w:val="19"/>
                <w:szCs w:val="19"/>
              </w:rPr>
              <w:t xml:space="preserve">Non-slip footwear; clean overspray immediately</w:t>
            </w:r>
          </w:p>
          <w:p>
            <w:pPr>
              <w:spacing w:after="10" w:before="10"/>
            </w:pPr>
            <w:r>
              <w:rPr>
                <w:rFonts w:ascii="Calibri" w:cs="Calibri" w:eastAsia="Calibri" w:hAnsi="Calibri"/>
                <w:b w:val="false"/>
                <w:bCs w:val="false"/>
                <w:color w:val="000000"/>
                <w:sz w:val="19"/>
                <w:szCs w:val="19"/>
              </w:rPr>
              <w:t xml:space="preserve">Hot work permit for torch-applied membranes</w:t>
            </w:r>
          </w:p>
          <w:p>
            <w:pPr>
              <w:spacing w:after="10" w:before="10"/>
            </w:pPr>
            <w:r>
              <w:rPr>
                <w:rFonts w:ascii="Calibri" w:cs="Calibri" w:eastAsia="Calibri" w:hAnsi="Calibri"/>
                <w:b w:val="false"/>
                <w:bCs w:val="false"/>
                <w:color w:val="000000"/>
                <w:sz w:val="19"/>
                <w:szCs w:val="19"/>
              </w:rPr>
              <w:t xml:space="preserve">Fire extinguisher within 10 ft of torch operations</w:t>
            </w:r>
          </w:p>
          <w:p>
            <w:pPr>
              <w:spacing w:after="10" w:before="10"/>
            </w:pPr>
            <w:r>
              <w:rPr>
                <w:rFonts w:ascii="Calibri" w:cs="Calibri" w:eastAsia="Calibri" w:hAnsi="Calibri"/>
                <w:b w:val="false"/>
                <w:bCs w:val="false"/>
                <w:color w:val="000000"/>
                <w:sz w:val="19"/>
                <w:szCs w:val="19"/>
              </w:rPr>
              <w:t xml:space="preserve">Fire watch for 30 minutes after torch use</w:t>
            </w:r>
          </w:p>
        </w:tc>
      </w:tr>
      <w:tr>
        <w:tc>
          <w:tcPr>
            <w:tcW w:type="dxa" w:w="220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4. Seam Sealing</w:t>
            </w:r>
          </w:p>
        </w:tc>
        <w:tc>
          <w:tcPr>
            <w:tcW w:type="dxa" w:w="220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Solvent/adhesive vapor exposure</w:t>
            </w:r>
          </w:p>
          <w:p>
            <w:pPr>
              <w:spacing w:after="10" w:before="10"/>
            </w:pPr>
            <w:r>
              <w:rPr>
                <w:rFonts w:ascii="Calibri" w:cs="Calibri" w:eastAsia="Calibri" w:hAnsi="Calibri"/>
                <w:b w:val="false"/>
                <w:bCs w:val="false"/>
                <w:color w:val="000000"/>
                <w:sz w:val="19"/>
                <w:szCs w:val="19"/>
              </w:rPr>
              <w:t xml:space="preserve">Burns from heat welding equipment</w:t>
            </w:r>
          </w:p>
          <w:p>
            <w:pPr>
              <w:spacing w:after="10" w:before="10"/>
            </w:pPr>
            <w:r>
              <w:rPr>
                <w:rFonts w:ascii="Calibri" w:cs="Calibri" w:eastAsia="Calibri" w:hAnsi="Calibri"/>
                <w:b w:val="false"/>
                <w:bCs w:val="false"/>
                <w:color w:val="000000"/>
                <w:sz w:val="19"/>
                <w:szCs w:val="19"/>
              </w:rPr>
              <w:t xml:space="preserve">Ergonomic strain (kneeling, bending)</w:t>
            </w:r>
          </w:p>
        </w:tc>
        <w:tc>
          <w:tcPr>
            <w:tcW w:type="dxa" w:w="900"/>
            <w:tcBorders>
              <w:top w:val="single" w:color="B0B0B0" w:sz="1"/>
              <w:left w:val="single" w:color="B0B0B0" w:sz="1"/>
              <w:bottom w:val="single" w:color="B0B0B0" w:sz="1"/>
              <w:right w:val="single" w:color="B0B0B0" w:sz="1"/>
            </w:tcBorders>
            <w:shd w:fill="FEF5E7" w:val="clear"/>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19"/>
                <w:szCs w:val="19"/>
              </w:rPr>
              <w:t xml:space="preserve">M</w:t>
            </w:r>
          </w:p>
        </w:tc>
        <w:tc>
          <w:tcPr>
            <w:tcW w:type="dxa" w:w="406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Ventilation and respiratory protection as per primer application</w:t>
            </w:r>
          </w:p>
          <w:p>
            <w:pPr>
              <w:spacing w:after="10" w:before="10"/>
            </w:pPr>
            <w:r>
              <w:rPr>
                <w:rFonts w:ascii="Calibri" w:cs="Calibri" w:eastAsia="Calibri" w:hAnsi="Calibri"/>
                <w:b w:val="false"/>
                <w:bCs w:val="false"/>
                <w:color w:val="000000"/>
                <w:sz w:val="19"/>
                <w:szCs w:val="19"/>
              </w:rPr>
              <w:t xml:space="preserve">Heat-resistant gloves for heat-welded seams</w:t>
            </w:r>
          </w:p>
          <w:p>
            <w:pPr>
              <w:spacing w:after="10" w:before="10"/>
            </w:pPr>
            <w:r>
              <w:rPr>
                <w:rFonts w:ascii="Calibri" w:cs="Calibri" w:eastAsia="Calibri" w:hAnsi="Calibri"/>
                <w:b w:val="false"/>
                <w:bCs w:val="false"/>
                <w:color w:val="000000"/>
                <w:sz w:val="19"/>
                <w:szCs w:val="19"/>
              </w:rPr>
              <w:t xml:space="preserve">Knee pads and anti-fatigue mats for extended kneeling</w:t>
            </w:r>
          </w:p>
          <w:p>
            <w:pPr>
              <w:spacing w:after="10" w:before="10"/>
            </w:pPr>
            <w:r>
              <w:rPr>
                <w:rFonts w:ascii="Calibri" w:cs="Calibri" w:eastAsia="Calibri" w:hAnsi="Calibri"/>
                <w:b w:val="false"/>
                <w:bCs w:val="false"/>
                <w:color w:val="000000"/>
                <w:sz w:val="19"/>
                <w:szCs w:val="19"/>
              </w:rPr>
              <w:t xml:space="preserve">Rotate workers to minimize repetitive strain</w:t>
            </w:r>
          </w:p>
          <w:p>
            <w:pPr>
              <w:spacing w:after="10" w:before="10"/>
            </w:pPr>
            <w:r>
              <w:rPr>
                <w:rFonts w:ascii="Calibri" w:cs="Calibri" w:eastAsia="Calibri" w:hAnsi="Calibri"/>
                <w:b w:val="false"/>
                <w:bCs w:val="false"/>
                <w:color w:val="000000"/>
                <w:sz w:val="19"/>
                <w:szCs w:val="19"/>
              </w:rPr>
              <w:t xml:space="preserve">Inspect all seams per manufacturer quality requirements</w:t>
            </w:r>
          </w:p>
        </w:tc>
      </w:tr>
      <w:tr>
        <w:tc>
          <w:tcPr>
            <w:tcW w:type="dxa" w:w="220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5. Drainage Board Installation</w:t>
            </w:r>
          </w:p>
        </w:tc>
        <w:tc>
          <w:tcPr>
            <w:tcW w:type="dxa" w:w="220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Manual handling of heavy boards/rolls</w:t>
            </w:r>
          </w:p>
          <w:p>
            <w:pPr>
              <w:spacing w:after="10" w:before="10"/>
            </w:pPr>
            <w:r>
              <w:rPr>
                <w:rFonts w:ascii="Calibri" w:cs="Calibri" w:eastAsia="Calibri" w:hAnsi="Calibri"/>
                <w:b w:val="false"/>
                <w:bCs w:val="false"/>
                <w:color w:val="000000"/>
                <w:sz w:val="19"/>
                <w:szCs w:val="19"/>
              </w:rPr>
              <w:t xml:space="preserve">Cuts from utility knives</w:t>
            </w:r>
          </w:p>
          <w:p>
            <w:pPr>
              <w:spacing w:after="10" w:before="10"/>
            </w:pPr>
            <w:r>
              <w:rPr>
                <w:rFonts w:ascii="Calibri" w:cs="Calibri" w:eastAsia="Calibri" w:hAnsi="Calibri"/>
                <w:b w:val="false"/>
                <w:bCs w:val="false"/>
                <w:color w:val="000000"/>
                <w:sz w:val="19"/>
                <w:szCs w:val="19"/>
              </w:rPr>
              <w:t xml:space="preserve">Falls from ladders/staging</w:t>
            </w:r>
          </w:p>
          <w:p>
            <w:pPr>
              <w:spacing w:after="10" w:before="10"/>
            </w:pPr>
            <w:r>
              <w:rPr>
                <w:rFonts w:ascii="Calibri" w:cs="Calibri" w:eastAsia="Calibri" w:hAnsi="Calibri"/>
                <w:b w:val="false"/>
                <w:bCs w:val="false"/>
                <w:color w:val="000000"/>
                <w:sz w:val="19"/>
                <w:szCs w:val="19"/>
              </w:rPr>
              <w:t xml:space="preserve">Struck by overhead debris during installation</w:t>
            </w:r>
          </w:p>
        </w:tc>
        <w:tc>
          <w:tcPr>
            <w:tcW w:type="dxa" w:w="900"/>
            <w:tcBorders>
              <w:top w:val="single" w:color="B0B0B0" w:sz="1"/>
              <w:left w:val="single" w:color="B0B0B0" w:sz="1"/>
              <w:bottom w:val="single" w:color="B0B0B0" w:sz="1"/>
              <w:right w:val="single" w:color="B0B0B0" w:sz="1"/>
            </w:tcBorders>
            <w:shd w:fill="FEF5E7" w:val="clear"/>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19"/>
                <w:szCs w:val="19"/>
              </w:rPr>
              <w:t xml:space="preserve">M</w:t>
            </w:r>
          </w:p>
        </w:tc>
        <w:tc>
          <w:tcPr>
            <w:tcW w:type="dxa" w:w="406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Two-person lifts for heavy rolls; mechanical aids when possible</w:t>
            </w:r>
          </w:p>
          <w:p>
            <w:pPr>
              <w:spacing w:after="10" w:before="10"/>
            </w:pPr>
            <w:r>
              <w:rPr>
                <w:rFonts w:ascii="Calibri" w:cs="Calibri" w:eastAsia="Calibri" w:hAnsi="Calibri"/>
                <w:b w:val="false"/>
                <w:bCs w:val="false"/>
                <w:color w:val="000000"/>
                <w:sz w:val="19"/>
                <w:szCs w:val="19"/>
              </w:rPr>
              <w:t xml:space="preserve">Cut-resistant gloves; retractable utility knives</w:t>
            </w:r>
          </w:p>
          <w:p>
            <w:pPr>
              <w:spacing w:after="10" w:before="10"/>
            </w:pPr>
            <w:r>
              <w:rPr>
                <w:rFonts w:ascii="Calibri" w:cs="Calibri" w:eastAsia="Calibri" w:hAnsi="Calibri"/>
                <w:b w:val="false"/>
                <w:bCs w:val="false"/>
                <w:color w:val="000000"/>
                <w:sz w:val="19"/>
                <w:szCs w:val="19"/>
              </w:rPr>
              <w:t xml:space="preserve">Ladder safety: 3-point contact, secured at top</w:t>
            </w:r>
          </w:p>
          <w:p>
            <w:pPr>
              <w:spacing w:after="10" w:before="10"/>
            </w:pPr>
            <w:r>
              <w:rPr>
                <w:rFonts w:ascii="Calibri" w:cs="Calibri" w:eastAsia="Calibri" w:hAnsi="Calibri"/>
                <w:b w:val="false"/>
                <w:bCs w:val="false"/>
                <w:color w:val="000000"/>
                <w:sz w:val="19"/>
                <w:szCs w:val="19"/>
              </w:rPr>
              <w:t xml:space="preserve">Hard hat required; overhead protection barriers</w:t>
            </w:r>
          </w:p>
          <w:p>
            <w:pPr>
              <w:spacing w:after="10" w:before="10"/>
            </w:pPr>
            <w:r>
              <w:rPr>
                <w:rFonts w:ascii="Calibri" w:cs="Calibri" w:eastAsia="Calibri" w:hAnsi="Calibri"/>
                <w:b w:val="false"/>
                <w:bCs w:val="false"/>
                <w:color w:val="000000"/>
                <w:sz w:val="19"/>
                <w:szCs w:val="19"/>
              </w:rPr>
              <w:t xml:space="preserve">Coordinate with crane/overhead operations</w:t>
            </w:r>
          </w:p>
        </w:tc>
      </w:tr>
      <w:tr>
        <w:tc>
          <w:tcPr>
            <w:tcW w:type="dxa" w:w="220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6. Backfill Coordination</w:t>
            </w:r>
          </w:p>
        </w:tc>
        <w:tc>
          <w:tcPr>
            <w:tcW w:type="dxa" w:w="220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Struck by heavy equipment</w:t>
            </w:r>
          </w:p>
          <w:p>
            <w:pPr>
              <w:spacing w:after="10" w:before="10"/>
            </w:pPr>
            <w:r>
              <w:rPr>
                <w:rFonts w:ascii="Calibri" w:cs="Calibri" w:eastAsia="Calibri" w:hAnsi="Calibri"/>
                <w:b w:val="false"/>
                <w:bCs w:val="false"/>
                <w:color w:val="000000"/>
                <w:sz w:val="19"/>
                <w:szCs w:val="19"/>
              </w:rPr>
              <w:t xml:space="preserve">Workers trapped between wall and equipment</w:t>
            </w:r>
          </w:p>
          <w:p>
            <w:pPr>
              <w:spacing w:after="10" w:before="10"/>
            </w:pPr>
            <w:r>
              <w:rPr>
                <w:rFonts w:ascii="Calibri" w:cs="Calibri" w:eastAsia="Calibri" w:hAnsi="Calibri"/>
                <w:b w:val="false"/>
                <w:bCs w:val="false"/>
                <w:color w:val="000000"/>
                <w:sz w:val="19"/>
                <w:szCs w:val="19"/>
              </w:rPr>
              <w:t xml:space="preserve">Excavation collapse during backfill</w:t>
            </w:r>
          </w:p>
          <w:p>
            <w:pPr>
              <w:spacing w:after="10" w:before="10"/>
            </w:pPr>
            <w:r>
              <w:rPr>
                <w:rFonts w:ascii="Calibri" w:cs="Calibri" w:eastAsia="Calibri" w:hAnsi="Calibri"/>
                <w:b w:val="false"/>
                <w:bCs w:val="false"/>
                <w:color w:val="000000"/>
                <w:sz w:val="19"/>
                <w:szCs w:val="19"/>
              </w:rPr>
              <w:t xml:space="preserve">Vibration damage to fresh membrane</w:t>
            </w:r>
          </w:p>
        </w:tc>
        <w:tc>
          <w:tcPr>
            <w:tcW w:type="dxa" w:w="900"/>
            <w:tcBorders>
              <w:top w:val="single" w:color="B0B0B0" w:sz="1"/>
              <w:left w:val="single" w:color="B0B0B0" w:sz="1"/>
              <w:bottom w:val="single" w:color="B0B0B0" w:sz="1"/>
              <w:right w:val="single" w:color="B0B0B0" w:sz="1"/>
            </w:tcBorders>
            <w:shd w:fill="FADBD8" w:val="clear"/>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19"/>
                <w:szCs w:val="19"/>
              </w:rPr>
              <w:t xml:space="preserve">H</w:t>
            </w:r>
          </w:p>
        </w:tc>
        <w:tc>
          <w:tcPr>
            <w:tcW w:type="dxa" w:w="4060"/>
            <w:tcBorders>
              <w:top w:val="single" w:color="B0B0B0" w:sz="1"/>
              <w:left w:val="single" w:color="B0B0B0" w:sz="1"/>
              <w:bottom w:val="single" w:color="B0B0B0" w:sz="1"/>
              <w:right w:val="single" w:color="B0B0B0" w:sz="1"/>
            </w:tcBorders>
            <w:tcMar>
              <w:top w:type="dxa" w:w="50"/>
              <w:left w:type="dxa" w:w="80"/>
              <w:bottom w:type="dxa" w:w="50"/>
              <w:right w:type="dxa" w:w="80"/>
            </w:tcMar>
            <w:vAlign w:val="top"/>
          </w:tcPr>
          <w:p>
            <w:pPr>
              <w:spacing w:after="10" w:before="10"/>
            </w:pPr>
            <w:r>
              <w:rPr>
                <w:rFonts w:ascii="Calibri" w:cs="Calibri" w:eastAsia="Calibri" w:hAnsi="Calibri"/>
                <w:b w:val="false"/>
                <w:bCs w:val="false"/>
                <w:color w:val="000000"/>
                <w:sz w:val="19"/>
                <w:szCs w:val="19"/>
              </w:rPr>
              <w:t xml:space="preserve">Dedicated spotter for all backfill equipment operations</w:t>
            </w:r>
          </w:p>
          <w:p>
            <w:pPr>
              <w:spacing w:after="10" w:before="10"/>
            </w:pPr>
            <w:r>
              <w:rPr>
                <w:rFonts w:ascii="Calibri" w:cs="Calibri" w:eastAsia="Calibri" w:hAnsi="Calibri"/>
                <w:b w:val="false"/>
                <w:bCs w:val="false"/>
                <w:color w:val="000000"/>
                <w:sz w:val="19"/>
                <w:szCs w:val="19"/>
              </w:rPr>
              <w:t xml:space="preserve">No workers between wall and equipment — enforced exclusion zone</w:t>
            </w:r>
          </w:p>
          <w:p>
            <w:pPr>
              <w:spacing w:after="10" w:before="10"/>
            </w:pPr>
            <w:r>
              <w:rPr>
                <w:rFonts w:ascii="Calibri" w:cs="Calibri" w:eastAsia="Calibri" w:hAnsi="Calibri"/>
                <w:b w:val="false"/>
                <w:bCs w:val="false"/>
                <w:color w:val="000000"/>
                <w:sz w:val="19"/>
                <w:szCs w:val="19"/>
              </w:rPr>
              <w:t xml:space="preserve">Competent person verifies membrane cure before backfill</w:t>
            </w:r>
          </w:p>
          <w:p>
            <w:pPr>
              <w:spacing w:after="10" w:before="10"/>
            </w:pPr>
            <w:r>
              <w:rPr>
                <w:rFonts w:ascii="Calibri" w:cs="Calibri" w:eastAsia="Calibri" w:hAnsi="Calibri"/>
                <w:b w:val="false"/>
                <w:bCs w:val="false"/>
                <w:color w:val="000000"/>
                <w:sz w:val="19"/>
                <w:szCs w:val="19"/>
              </w:rPr>
              <w:t xml:space="preserve">Backfill in controlled lifts per geotechnical spec</w:t>
            </w:r>
          </w:p>
          <w:p>
            <w:pPr>
              <w:spacing w:after="10" w:before="10"/>
            </w:pPr>
            <w:r>
              <w:rPr>
                <w:rFonts w:ascii="Calibri" w:cs="Calibri" w:eastAsia="Calibri" w:hAnsi="Calibri"/>
                <w:b w:val="false"/>
                <w:bCs w:val="false"/>
                <w:color w:val="000000"/>
                <w:sz w:val="19"/>
                <w:szCs w:val="19"/>
              </w:rPr>
              <w:t xml:space="preserve">High-visibility vests mandatory for all ground personnel</w:t>
            </w:r>
          </w:p>
          <w:p>
            <w:pPr>
              <w:spacing w:after="10" w:before="10"/>
            </w:pPr>
            <w:r>
              <w:rPr>
                <w:rFonts w:ascii="Calibri" w:cs="Calibri" w:eastAsia="Calibri" w:hAnsi="Calibri"/>
                <w:b w:val="false"/>
                <w:bCs w:val="false"/>
                <w:color w:val="000000"/>
                <w:sz w:val="19"/>
                <w:szCs w:val="19"/>
              </w:rPr>
              <w:t xml:space="preserve">Communication protocol between equipment operator and crew</w:t>
            </w:r>
          </w:p>
        </w:tc>
      </w:tr>
    </w:tbl>
    <w:p>
      <w:pPr>
        <w:spacing w:before="200"/>
      </w:pPr>
    </w:p>
    <w:p>
      <w:pPr>
        <w:spacing w:after="120" w:before="300"/>
      </w:pPr>
      <w:r>
        <w:rPr>
          <w:rFonts w:ascii="Calibri" w:cs="Calibri" w:eastAsia="Calibri" w:hAnsi="Calibri"/>
          <w:b/>
          <w:bCs/>
          <w:color w:val="1B2A4A"/>
          <w:sz w:val="26"/>
          <w:szCs w:val="26"/>
        </w:rPr>
        <w:t xml:space="preserve">PERSONAL PROTECTIVE EQUIPMENT (PPE)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9360"/>
            <w:gridSpan w:val="2"/>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2"/>
                <w:szCs w:val="22"/>
              </w:rPr>
              <w:t xml:space="preserve">PPE Required</w:t>
            </w:r>
          </w:p>
        </w:tc>
      </w:tr>
      <w:tr>
        <w:tc>
          <w:tcPr>
            <w:tcW w:type="dxa" w:w="46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Hard Hat (ANSI Z89.1 Type I, Class E)</w:t>
            </w:r>
          </w:p>
        </w:tc>
        <w:tc>
          <w:tcPr>
            <w:tcW w:type="dxa" w:w="46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Organic Vapor Respirator / P100 Combination</w:t>
            </w:r>
          </w:p>
        </w:tc>
      </w:tr>
      <w:tr>
        <w:tc>
          <w:tcPr>
            <w:tcW w:type="dxa" w:w="46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Chemical-Resistant Gloves (nitrile or neoprene)</w:t>
            </w:r>
          </w:p>
        </w:tc>
        <w:tc>
          <w:tcPr>
            <w:tcW w:type="dxa" w:w="46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Heat-Resistant Gloves (torch operations)</w:t>
            </w:r>
          </w:p>
        </w:tc>
      </w:tr>
      <w:tr>
        <w:tc>
          <w:tcPr>
            <w:tcW w:type="dxa" w:w="46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Splash-Proof Safety Goggles</w:t>
            </w:r>
          </w:p>
        </w:tc>
        <w:tc>
          <w:tcPr>
            <w:tcW w:type="dxa" w:w="46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Steel-Toe Safety Boots (puncture-resistant sole)</w:t>
            </w:r>
          </w:p>
        </w:tc>
      </w:tr>
      <w:tr>
        <w:tc>
          <w:tcPr>
            <w:tcW w:type="dxa" w:w="46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High-Visibility Vest (Class 2 minimum)</w:t>
            </w:r>
          </w:p>
        </w:tc>
        <w:tc>
          <w:tcPr>
            <w:tcW w:type="dxa" w:w="46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Knee Pads (membrane application)</w:t>
            </w:r>
          </w:p>
        </w:tc>
      </w:tr>
      <w:tr>
        <w:tc>
          <w:tcPr>
            <w:tcW w:type="dxa" w:w="46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Face Shield (grinding operations)</w:t>
            </w:r>
          </w:p>
        </w:tc>
        <w:tc>
          <w:tcPr>
            <w:tcW w:type="dxa" w:w="46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Hearing Protection (equipment operations)</w:t>
            </w:r>
          </w:p>
        </w:tc>
      </w:tr>
    </w:tbl>
    <w:p>
      <w:r>
        <w:br w:type="page"/>
      </w:r>
    </w:p>
    <w:p>
      <w:pPr>
        <w:spacing w:after="120" w:before="300"/>
      </w:pPr>
      <w:r>
        <w:rPr>
          <w:rFonts w:ascii="Calibri" w:cs="Calibri" w:eastAsia="Calibri" w:hAnsi="Calibri"/>
          <w:b/>
          <w:bCs/>
          <w:color w:val="1B2A4A"/>
          <w:sz w:val="26"/>
          <w:szCs w:val="26"/>
        </w:rPr>
        <w:t xml:space="preserve">EMERGENCY PROCEDURES</w:t>
      </w:r>
    </w:p>
    <w:p>
      <w:pPr>
        <w:spacing w:after="60" w:before="60"/>
      </w:pPr>
      <w:r>
        <w:rPr>
          <w:rFonts w:ascii="Calibri" w:cs="Calibri" w:eastAsia="Calibri" w:hAnsi="Calibri"/>
          <w:b w:val="false"/>
          <w:bCs w:val="false"/>
          <w:color w:val="000000"/>
          <w:sz w:val="20"/>
          <w:szCs w:val="20"/>
        </w:rPr>
        <w:t xml:space="preserve">1. EXCAVATION COLLAPSE / CAVE-IN: Call 911 immediately. Do NOT enter the excavation to attempt rescue. Shut down all equipment. Initiate trench rescue protocol. Only trained trench rescue personnel may enter.</w:t>
      </w:r>
    </w:p>
    <w:p>
      <w:pPr>
        <w:spacing w:after="60" w:before="60"/>
      </w:pPr>
      <w:r>
        <w:rPr>
          <w:rFonts w:ascii="Calibri" w:cs="Calibri" w:eastAsia="Calibri" w:hAnsi="Calibri"/>
          <w:b w:val="false"/>
          <w:bCs w:val="false"/>
          <w:color w:val="000000"/>
          <w:sz w:val="20"/>
          <w:szCs w:val="20"/>
        </w:rPr>
        <w:t xml:space="preserve">2. SOLVENT VAPOR OVEREXPOSURE: Remove worker to fresh air. Administer oxygen if available. If unconscious, place in recovery position. Call 911. Provide SDS to responders.</w:t>
      </w:r>
    </w:p>
    <w:p>
      <w:pPr>
        <w:spacing w:after="60" w:before="60"/>
      </w:pPr>
      <w:r>
        <w:rPr>
          <w:rFonts w:ascii="Calibri" w:cs="Calibri" w:eastAsia="Calibri" w:hAnsi="Calibri"/>
          <w:b w:val="false"/>
          <w:bCs w:val="false"/>
          <w:color w:val="000000"/>
          <w:sz w:val="20"/>
          <w:szCs w:val="20"/>
        </w:rPr>
        <w:t xml:space="preserve">3. THERMAL BURN (TORCH/HOT MEMBRANE): Cool burn with clean, cool water for 10+ minutes. Do not remove adhered membrane from skin. Cover with sterile dressing. Seek immediate medical attention for burns larger than palm size.</w:t>
      </w:r>
    </w:p>
    <w:p>
      <w:pPr>
        <w:spacing w:after="60" w:before="60"/>
      </w:pPr>
      <w:r>
        <w:rPr>
          <w:rFonts w:ascii="Calibri" w:cs="Calibri" w:eastAsia="Calibri" w:hAnsi="Calibri"/>
          <w:b w:val="false"/>
          <w:bCs w:val="false"/>
          <w:color w:val="000000"/>
          <w:sz w:val="20"/>
          <w:szCs w:val="20"/>
        </w:rPr>
        <w:t xml:space="preserve">4. FALL INTO EXCAVATION: Call 911. Do not move victim if spinal injury suspected. Lower rescue equipment, not personnel, unless trained. Keep victim warm and monitor vitals.</w:t>
      </w:r>
    </w:p>
    <w:p>
      <w:pPr>
        <w:spacing w:after="60" w:before="60"/>
      </w:pPr>
      <w:r>
        <w:rPr>
          <w:rFonts w:ascii="Calibri" w:cs="Calibri" w:eastAsia="Calibri" w:hAnsi="Calibri"/>
          <w:b w:val="false"/>
          <w:bCs w:val="false"/>
          <w:color w:val="000000"/>
          <w:sz w:val="20"/>
          <w:szCs w:val="20"/>
        </w:rPr>
        <w:t xml:space="preserve">5. STRUCK BY EQUIPMENT/DEBRIS: Secure the area. Administer first aid. Call 911 for serious injuries. Preserve scene for incident investigation.</w:t>
      </w:r>
    </w:p>
    <w:p>
      <w:pPr>
        <w:spacing w:after="60" w:before="60"/>
      </w:pPr>
      <w:r>
        <w:rPr>
          <w:rFonts w:ascii="Calibri" w:cs="Calibri" w:eastAsia="Calibri" w:hAnsi="Calibri"/>
          <w:b w:val="false"/>
          <w:bCs w:val="false"/>
          <w:color w:val="000000"/>
          <w:sz w:val="20"/>
          <w:szCs w:val="20"/>
        </w:rPr>
        <w:t xml:space="preserve">6. EMERGENCY CONTACTS: 911 for all emergencies. Site Safety Officer: ____________. Poison Control: 1-800-222-1222.</w:t>
      </w:r>
    </w:p>
    <w:p>
      <w:pPr>
        <w:spacing w:after="120" w:before="300"/>
      </w:pPr>
      <w:r>
        <w:rPr>
          <w:rFonts w:ascii="Calibri" w:cs="Calibri" w:eastAsia="Calibri" w:hAnsi="Calibri"/>
          <w:b/>
          <w:bCs/>
          <w:color w:val="1B2A4A"/>
          <w:sz w:val="26"/>
          <w:szCs w:val="26"/>
        </w:rPr>
        <w:t xml:space="preserve">ADDITIONAL NOTES / SITE-SPECIFIC REQUIREMENTS</w:t>
      </w:r>
    </w:p>
    <w:p>
      <w:pPr>
        <w:spacing w:after="60" w:before="60"/>
      </w:pPr>
      <w:r>
        <w:rPr>
          <w:rFonts w:ascii="Calibri" w:cs="Calibri" w:eastAsia="Calibri" w:hAnsi="Calibri"/>
          <w:b w:val="false"/>
          <w:bCs w:val="false"/>
          <w:color w:val="000000"/>
          <w:sz w:val="20"/>
          <w:szCs w:val="20"/>
        </w:rPr>
        <w:t xml:space="preserve">• Competent Person for excavation must be identified and on-site during all below-grade work.</w:t>
      </w:r>
    </w:p>
    <w:p>
      <w:pPr>
        <w:spacing w:after="60" w:before="60"/>
      </w:pPr>
      <w:r>
        <w:rPr>
          <w:rFonts w:ascii="Calibri" w:cs="Calibri" w:eastAsia="Calibri" w:hAnsi="Calibri"/>
          <w:b w:val="false"/>
          <w:bCs w:val="false"/>
          <w:color w:val="000000"/>
          <w:sz w:val="20"/>
          <w:szCs w:val="20"/>
        </w:rPr>
        <w:t xml:space="preserve">• Daily excavation inspection logs must be maintained and available for review.</w:t>
      </w:r>
    </w:p>
    <w:p>
      <w:pPr>
        <w:spacing w:after="60" w:before="60"/>
      </w:pPr>
      <w:r>
        <w:rPr>
          <w:rFonts w:ascii="Calibri" w:cs="Calibri" w:eastAsia="Calibri" w:hAnsi="Calibri"/>
          <w:b w:val="false"/>
          <w:bCs w:val="false"/>
          <w:color w:val="000000"/>
          <w:sz w:val="20"/>
          <w:szCs w:val="20"/>
        </w:rPr>
        <w:t xml:space="preserve">• Waterproofing manufacturer's application guidelines must be followed for warranty compliance.</w:t>
      </w:r>
    </w:p>
    <w:p>
      <w:pPr>
        <w:spacing w:after="60" w:before="60"/>
      </w:pPr>
      <w:r>
        <w:rPr>
          <w:rFonts w:ascii="Calibri" w:cs="Calibri" w:eastAsia="Calibri" w:hAnsi="Calibri"/>
          <w:b w:val="false"/>
          <w:bCs w:val="false"/>
          <w:color w:val="000000"/>
          <w:sz w:val="20"/>
          <w:szCs w:val="20"/>
        </w:rPr>
        <w:t xml:space="preserve">• All torch/hot-work operations require an active Hot Work Permit.</w:t>
      </w:r>
    </w:p>
    <w:p>
      <w:pPr>
        <w:spacing w:after="60" w:before="60"/>
      </w:pPr>
      <w:r>
        <w:rPr>
          <w:rFonts w:ascii="Calibri" w:cs="Calibri" w:eastAsia="Calibri" w:hAnsi="Calibri"/>
          <w:b w:val="false"/>
          <w:bCs w:val="false"/>
          <w:color w:val="000000"/>
          <w:sz w:val="20"/>
          <w:szCs w:val="20"/>
        </w:rPr>
        <w:t xml:space="preserve">• Coordination meetings with backfill crew must occur before any heavy equipment approaches the work zone.</w:t>
      </w:r>
    </w:p>
    <w:p>
      <w:pPr>
        <w:spacing w:after="120" w:before="300"/>
      </w:pPr>
      <w:r>
        <w:rPr>
          <w:rFonts w:ascii="Calibri" w:cs="Calibri" w:eastAsia="Calibri" w:hAnsi="Calibri"/>
          <w:b/>
          <w:bCs/>
          <w:color w:val="1B2A4A"/>
          <w:sz w:val="26"/>
          <w:szCs w:val="26"/>
        </w:rPr>
        <w:t xml:space="preserve">WORKER SIGN-OFF</w:t>
      </w:r>
    </w:p>
    <w:p>
      <w:pPr>
        <w:spacing w:after="60" w:before="60"/>
      </w:pPr>
      <w:r>
        <w:rPr>
          <w:rFonts w:ascii="Calibri" w:cs="Calibri" w:eastAsia="Calibri" w:hAnsi="Calibri"/>
          <w:b w:val="false"/>
          <w:bCs w:val="false"/>
          <w:color w:val="000000"/>
          <w:sz w:val="20"/>
          <w:szCs w:val="20"/>
        </w:rPr>
        <w:t xml:space="preserve">By signing below, I confirm that I have reviewed and understand this JHA, including all identified hazards and required control measures.</w:t>
      </w:r>
    </w:p>
    <w:p>
      <w:pPr>
        <w:spacing w:before="1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2400"/>
        <w:gridCol w:w="2400"/>
        <w:gridCol w:w="1480"/>
        <w:gridCol w:w="2480"/>
      </w:tblGrid>
      <w:tr>
        <w:tc>
          <w:tcPr>
            <w:tcW w:type="dxa" w:w="60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w:t>
            </w:r>
          </w:p>
        </w:tc>
        <w:tc>
          <w:tcPr>
            <w:tcW w:type="dxa" w:w="240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Print Name</w:t>
            </w:r>
          </w:p>
        </w:tc>
        <w:tc>
          <w:tcPr>
            <w:tcW w:type="dxa" w:w="240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Signature</w:t>
            </w:r>
          </w:p>
        </w:tc>
        <w:tc>
          <w:tcPr>
            <w:tcW w:type="dxa" w:w="148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Date</w:t>
            </w:r>
          </w:p>
        </w:tc>
        <w:tc>
          <w:tcPr>
            <w:tcW w:type="dxa" w:w="248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Company/Trade</w:t>
            </w:r>
          </w:p>
        </w:tc>
      </w:tr>
      <w:tr>
        <w:trPr>
          <w:trHeight w:val="400" w:hRule="atLeast"/>
        </w:trPr>
        <w:tc>
          <w:tcPr>
            <w:tcW w:type="dxa" w:w="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20"/>
                <w:szCs w:val="20"/>
              </w:rPr>
              <w:t xml:space="preserve">1</w:t>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1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rPr>
          <w:trHeight w:val="400" w:hRule="atLeast"/>
        </w:trPr>
        <w:tc>
          <w:tcPr>
            <w:tcW w:type="dxa" w:w="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20"/>
                <w:szCs w:val="20"/>
              </w:rPr>
              <w:t xml:space="preserve">2</w:t>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1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rPr>
          <w:trHeight w:val="400" w:hRule="atLeast"/>
        </w:trPr>
        <w:tc>
          <w:tcPr>
            <w:tcW w:type="dxa" w:w="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20"/>
                <w:szCs w:val="20"/>
              </w:rPr>
              <w:t xml:space="preserve">3</w:t>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1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rPr>
          <w:trHeight w:val="400" w:hRule="atLeast"/>
        </w:trPr>
        <w:tc>
          <w:tcPr>
            <w:tcW w:type="dxa" w:w="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20"/>
                <w:szCs w:val="20"/>
              </w:rPr>
              <w:t xml:space="preserve">4</w:t>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1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rPr>
          <w:trHeight w:val="400" w:hRule="atLeast"/>
        </w:trPr>
        <w:tc>
          <w:tcPr>
            <w:tcW w:type="dxa" w:w="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20"/>
                <w:szCs w:val="20"/>
              </w:rPr>
              <w:t xml:space="preserve">5</w:t>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1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rPr>
          <w:trHeight w:val="400" w:hRule="atLeast"/>
        </w:trPr>
        <w:tc>
          <w:tcPr>
            <w:tcW w:type="dxa" w:w="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20"/>
                <w:szCs w:val="20"/>
              </w:rPr>
              <w:t xml:space="preserve">6</w:t>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1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rPr>
          <w:trHeight w:val="400" w:hRule="atLeast"/>
        </w:trPr>
        <w:tc>
          <w:tcPr>
            <w:tcW w:type="dxa" w:w="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20"/>
                <w:szCs w:val="20"/>
              </w:rPr>
              <w:t xml:space="preserve">7</w:t>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1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rPr>
          <w:trHeight w:val="400" w:hRule="atLeast"/>
        </w:trPr>
        <w:tc>
          <w:tcPr>
            <w:tcW w:type="dxa" w:w="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20"/>
                <w:szCs w:val="20"/>
              </w:rPr>
              <w:t xml:space="preserve">8</w:t>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1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rPr>
          <w:trHeight w:val="400" w:hRule="atLeast"/>
        </w:trPr>
        <w:tc>
          <w:tcPr>
            <w:tcW w:type="dxa" w:w="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20"/>
                <w:szCs w:val="20"/>
              </w:rPr>
              <w:t xml:space="preserve">9</w:t>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1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rPr>
          <w:trHeight w:val="400" w:hRule="atLeast"/>
        </w:trPr>
        <w:tc>
          <w:tcPr>
            <w:tcW w:type="dxa" w:w="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20"/>
                <w:szCs w:val="20"/>
              </w:rPr>
              <w:t xml:space="preserve">10</w:t>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1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48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bl>
    <w:p>
      <w:r>
        <w:br w:type="page"/>
      </w:r>
    </w:p>
    <w:p>
      <w:pPr>
        <w:spacing w:after="120" w:before="300"/>
      </w:pPr>
      <w:r>
        <w:rPr>
          <w:rFonts w:ascii="Calibri" w:cs="Calibri" w:eastAsia="Calibri" w:hAnsi="Calibri"/>
          <w:b/>
          <w:bCs/>
          <w:color w:val="1B2A4A"/>
          <w:sz w:val="26"/>
          <w:szCs w:val="26"/>
        </w:rPr>
        <w:t xml:space="preserve">REVIEW &amp; APPROVAL</w:t>
      </w:r>
    </w:p>
    <w:p>
      <w:pPr>
        <w:spacing w:after="60" w:before="60"/>
      </w:pPr>
      <w:r>
        <w:rPr>
          <w:rFonts w:ascii="Calibri" w:cs="Calibri" w:eastAsia="Calibri" w:hAnsi="Calibri"/>
          <w:b w:val="false"/>
          <w:bCs w:val="false"/>
          <w:color w:val="000000"/>
          <w:sz w:val="20"/>
          <w:szCs w:val="20"/>
        </w:rPr>
        <w:t xml:space="preserve">This JHA has been reviewed and approved by the following authorized personnel:</w:t>
      </w:r>
    </w:p>
    <w:p>
      <w:pPr>
        <w:spacing w:before="1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Role</w:t>
            </w:r>
          </w:p>
        </w:tc>
        <w:tc>
          <w:tcPr>
            <w:tcW w:type="dxa" w:w="312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Signature</w:t>
            </w:r>
          </w:p>
        </w:tc>
        <w:tc>
          <w:tcPr>
            <w:tcW w:type="dxa" w:w="312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Date</w:t>
            </w:r>
          </w:p>
        </w:tc>
      </w:tr>
      <w:tr>
        <w:trPr>
          <w:trHeight w:val="500" w:hRule="atLeast"/>
        </w:trPr>
        <w:tc>
          <w:tcPr>
            <w:tcW w:type="dxa" w:w="312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Prepared By (Safety Professional)</w:t>
            </w:r>
          </w:p>
        </w:tc>
        <w:tc>
          <w:tcPr>
            <w:tcW w:type="dxa" w:w="312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312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rPr>
          <w:trHeight w:val="500" w:hRule="atLeast"/>
        </w:trPr>
        <w:tc>
          <w:tcPr>
            <w:tcW w:type="dxa" w:w="312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Reviewed By (Site Supervisor)</w:t>
            </w:r>
          </w:p>
        </w:tc>
        <w:tc>
          <w:tcPr>
            <w:tcW w:type="dxa" w:w="312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312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rPr>
          <w:trHeight w:val="500" w:hRule="atLeast"/>
        </w:trPr>
        <w:tc>
          <w:tcPr>
            <w:tcW w:type="dxa" w:w="312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Approved By (Project Manager)</w:t>
            </w:r>
          </w:p>
        </w:tc>
        <w:tc>
          <w:tcPr>
            <w:tcW w:type="dxa" w:w="312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312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rPr>
          <w:trHeight w:val="500" w:hRule="atLeast"/>
        </w:trPr>
        <w:tc>
          <w:tcPr>
            <w:tcW w:type="dxa" w:w="312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Client Representative (if required)</w:t>
            </w:r>
          </w:p>
        </w:tc>
        <w:tc>
          <w:tcPr>
            <w:tcW w:type="dxa" w:w="312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312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bl>
    <w:p>
      <w:pPr>
        <w:spacing w:after="120" w:before="300"/>
      </w:pPr>
      <w:r>
        <w:rPr>
          <w:rFonts w:ascii="Calibri" w:cs="Calibri" w:eastAsia="Calibri" w:hAnsi="Calibri"/>
          <w:b/>
          <w:bCs/>
          <w:color w:val="1B2A4A"/>
          <w:sz w:val="26"/>
          <w:szCs w:val="26"/>
        </w:rPr>
        <w:t xml:space="preserve">REVISION HISTORY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60"/>
        <w:gridCol w:w="2600"/>
        <w:gridCol w:w="2600"/>
        <w:gridCol w:w="2600"/>
      </w:tblGrid>
      <w:tr>
        <w:tc>
          <w:tcPr>
            <w:tcW w:type="dxa" w:w="156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Revision</w:t>
            </w:r>
          </w:p>
        </w:tc>
        <w:tc>
          <w:tcPr>
            <w:tcW w:type="dxa" w:w="260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Date</w:t>
            </w:r>
          </w:p>
        </w:tc>
        <w:tc>
          <w:tcPr>
            <w:tcW w:type="dxa" w:w="260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Description</w:t>
            </w:r>
          </w:p>
        </w:tc>
        <w:tc>
          <w:tcPr>
            <w:tcW w:type="dxa" w:w="2600"/>
            <w:tcBorders>
              <w:top w:val="single" w:color="B0B0B0" w:sz="1"/>
              <w:left w:val="single" w:color="B0B0B0" w:sz="1"/>
              <w:bottom w:val="single" w:color="B0B0B0" w:sz="1"/>
              <w:right w:val="single" w:color="B0B0B0" w:sz="1"/>
            </w:tcBorders>
            <w:shd w:fill="1B2A4A" w:val="clear"/>
            <w:tcMar>
              <w:top w:type="dxa" w:w="50"/>
              <w:left w:type="dxa" w:w="80"/>
              <w:bottom w:type="dxa" w:w="50"/>
              <w:right w:type="dxa" w:w="80"/>
            </w:tcMar>
            <w:vAlign w:val="center"/>
          </w:tcPr>
          <w:p>
            <w:pPr>
              <w:spacing w:after="20" w:before="20"/>
              <w:jc w:val="center"/>
            </w:pPr>
            <w:r>
              <w:rPr>
                <w:rFonts w:ascii="Calibri" w:cs="Calibri" w:eastAsia="Calibri" w:hAnsi="Calibri"/>
                <w:b/>
                <w:bCs/>
                <w:color w:val="FFFFFF"/>
                <w:sz w:val="20"/>
                <w:szCs w:val="20"/>
              </w:rPr>
              <w:t xml:space="preserve">Approved By</w:t>
            </w:r>
          </w:p>
        </w:tc>
      </w:tr>
      <w:tr>
        <w:tc>
          <w:tcPr>
            <w:tcW w:type="dxa" w:w="156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20"/>
                <w:szCs w:val="20"/>
              </w:rPr>
              <w:t xml:space="preserve">0</w:t>
            </w:r>
          </w:p>
        </w:tc>
        <w:tc>
          <w:tcPr>
            <w:tcW w:type="dxa" w:w="2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Initial Release</w:t>
            </w:r>
          </w:p>
        </w:tc>
        <w:tc>
          <w:tcPr>
            <w:tcW w:type="dxa" w:w="2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r>
        <w:tc>
          <w:tcPr>
            <w:tcW w:type="dxa" w:w="156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center"/>
            </w:pPr>
            <w:r>
              <w:rPr>
                <w:rFonts w:ascii="Calibri" w:cs="Calibri" w:eastAsia="Calibri" w:hAnsi="Calibri"/>
                <w:b w:val="false"/>
                <w:bCs w:val="false"/>
                <w:color w:val="000000"/>
                <w:sz w:val="20"/>
                <w:szCs w:val="20"/>
              </w:rPr>
              <w:t xml:space="preserve">1</w:t>
            </w:r>
          </w:p>
        </w:tc>
        <w:tc>
          <w:tcPr>
            <w:tcW w:type="dxa" w:w="2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c>
          <w:tcPr>
            <w:tcW w:type="dxa" w:w="2600"/>
            <w:tcBorders>
              <w:top w:val="single" w:color="B0B0B0" w:sz="1"/>
              <w:left w:val="single" w:color="B0B0B0" w:sz="1"/>
              <w:bottom w:val="single" w:color="B0B0B0" w:sz="1"/>
              <w:right w:val="single" w:color="B0B0B0" w:sz="1"/>
            </w:tcBorders>
            <w:tcMar>
              <w:top w:type="dxa" w:w="50"/>
              <w:left w:type="dxa" w:w="80"/>
              <w:bottom w:type="dxa" w:w="50"/>
              <w:right w:type="dxa" w:w="80"/>
            </w:tcMar>
            <w:vAlign w:val="center"/>
          </w:tcPr>
          <w:p>
            <w:pPr>
              <w:spacing w:after="20" w:before="20"/>
              <w:jc w:val="left"/>
            </w:pPr>
            <w:r>
              <w:rPr>
                <w:rFonts w:ascii="Calibri" w:cs="Calibri" w:eastAsia="Calibri" w:hAnsi="Calibri"/>
                <w:b w:val="false"/>
                <w:bCs w:val="false"/>
                <w:color w:val="000000"/>
                <w:sz w:val="20"/>
                <w:szCs w:val="20"/>
              </w:rPr>
              <w:t xml:space="preserve"/>
            </w:r>
          </w:p>
        </w:tc>
      </w:tr>
    </w:tbl>
    <w:p>
      <w:pPr>
        <w:spacing w:before="300"/>
      </w:pPr>
    </w:p>
    <w:p>
      <w:pPr>
        <w:spacing w:after="60" w:before="100"/>
      </w:pPr>
      <w:r>
        <w:rPr>
          <w:rFonts w:ascii="Calibri" w:cs="Calibri" w:eastAsia="Calibri" w:hAnsi="Calibri"/>
          <w:b/>
          <w:bCs/>
          <w:color w:val="1B2A4A"/>
          <w:sz w:val="18"/>
          <w:szCs w:val="18"/>
        </w:rPr>
        <w:t xml:space="preserve">DISCLAIMER: </w:t>
      </w:r>
      <w:r>
        <w:rPr>
          <w:rFonts w:ascii="Calibri" w:cs="Calibri" w:eastAsia="Calibri" w:hAnsi="Calibri"/>
          <w:color w:val="555555"/>
          <w:sz w:val="18"/>
          <w:szCs w:val="18"/>
        </w:rPr>
        <w:t xml:space="preserve">This Job Hazard Analysis is a guideline for identifying hazards and implementing controls. It does not replace site-specific safety plans, competent person assessments, or regulatory requirements. All workers must comply with applicable OSHA standards and company safety policies. This JHA must be reviewed and updated whenever work conditions change.</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777777"/>
        <w:sz w:val="16"/>
        <w:szCs w:val="16"/>
      </w:rPr>
      <w:t xml:space="preserve">Page </w:t>
    </w:r>
    <w:r>
      <w:rPr>
        <w:rFonts w:ascii="Calibri" w:cs="Calibri" w:eastAsia="Calibri" w:hAnsi="Calibri"/>
        <w:color w:val="777777"/>
        <w:sz w:val="16"/>
        <w:szCs w:val="16"/>
      </w:rPr>
      <w:fldChar w:fldCharType="begin"/>
      <w:instrText xml:space="preserve">PAGE</w:instrText>
      <w:fldChar w:fldCharType="separate"/>
      <w:fldChar w:fldCharType="end"/>
    </w:r>
    <w:r>
      <w:rPr>
        <w:rFonts w:ascii="Calibri" w:cs="Calibri" w:eastAsia="Calibri" w:hAnsi="Calibri"/>
        <w:color w:val="777777"/>
        <w:sz w:val="16"/>
        <w:szCs w:val="16"/>
      </w:rPr>
      <w:t xml:space="preserve"> of </w:t>
    </w:r>
    <w:r>
      <w:rPr>
        <w:rFonts w:ascii="Calibri" w:cs="Calibri" w:eastAsia="Calibri" w:hAnsi="Calibri"/>
        <w:color w:val="777777"/>
        <w:sz w:val="16"/>
        <w:szCs w:val="16"/>
      </w:rPr>
      <w:fldChar w:fldCharType="begin"/>
      <w:instrText xml:space="preserve">NUMPAGES</w:instrText>
      <w:fldChar w:fldCharType="separate"/>
      <w:fldChar w:fldCharType="end"/>
    </w:r>
    <w:r>
      <w:rPr>
        <w:rFonts w:ascii="Calibri" w:cs="Calibri" w:eastAsia="Calibri" w:hAnsi="Calibri"/>
        <w:color w:val="AAAAAA"/>
        <w:sz w:val="14"/>
        <w:szCs w:val="14"/>
      </w:rPr>
      <w:t xml:space="preserve">  |  CONFIDENTIAL — Forbes Safety Solutions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Calibri" w:cs="Calibri" w:eastAsia="Calibri" w:hAnsi="Calibri"/>
        <w:i/>
        <w:iCs/>
        <w:color w:val="1B2A4A"/>
        <w:sz w:val="16"/>
        <w:szCs w:val="16"/>
      </w:rPr>
      <w:t xml:space="preserve">Forbes Safety Solutions</w:t>
    </w:r>
    <w:r>
      <w:rPr>
        <w:rFonts w:ascii="Calibri" w:cs="Calibri" w:eastAsia="Calibri" w:hAnsi="Calibri"/>
        <w:color w:val="999999"/>
        <w:sz w:val="16"/>
        <w:szCs w:val="16"/>
      </w:rPr>
      <w:t xml:space="preserve">  |  </w:t>
    </w:r>
    <w:r>
      <w:rPr>
        <w:rFonts w:ascii="Calibri" w:cs="Calibri" w:eastAsia="Calibri" w:hAnsi="Calibri"/>
        <w:i/>
        <w:iCs/>
        <w:color w:val="999999"/>
        <w:sz w:val="16"/>
        <w:szCs w:val="16"/>
      </w:rPr>
      <w:t xml:space="preserve">Waterproofing / Below-Grade Work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2026-03-16T00:49:57.952Z</dcterms:created>
  <dcterms:modified xsi:type="dcterms:W3CDTF">2026-03-16T00:49:57.952Z</dcterms:modified>
</cp:coreProperties>
</file>

<file path=docProps/custom.xml><?xml version="1.0" encoding="utf-8"?>
<Properties xmlns="http://schemas.openxmlformats.org/officeDocument/2006/custom-properties" xmlns:vt="http://schemas.openxmlformats.org/officeDocument/2006/docPropsVTypes"/>
</file>