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300"/>
              <w:left w:type="dxa" w:w="300"/>
              <w:bottom w:type="dxa" w:w="300"/>
              <w:right w:type="dxa" w:w="300"/>
            </w:tcMar>
          </w:tcPr>
          <w:p>
            <w:pPr>
              <w:jc w:val="center"/>
            </w:pPr>
            <w:r>
              <w:rPr>
                <w:rFonts w:ascii="Calibri" w:cs="Calibri" w:eastAsia="Calibri" w:hAnsi="Calibri"/>
                <w:b/>
                <w:bCs/>
                <w:color w:val="FFFFFF"/>
                <w:sz w:val="36"/>
                <w:szCs w:val="36"/>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8"/>
                <w:szCs w:val="8"/>
              </w:rPr>
              <w:t xml:space="preserve"> </w:t>
            </w:r>
          </w:p>
        </w:tc>
      </w:tr>
    </w:tbl>
    <w:p>
      <w:pPr>
        <w:spacing w:after="0" w:before="600"/>
      </w:pPr>
    </w:p>
    <w:p>
      <w:pPr>
        <w:spacing w:after="100" w:before="200"/>
        <w:jc w:val="center"/>
      </w:pPr>
      <w:r>
        <w:rPr>
          <w:rFonts w:ascii="Calibri" w:cs="Calibri" w:eastAsia="Calibri" w:hAnsi="Calibri"/>
          <w:b/>
          <w:bCs/>
          <w:color w:val="1B2A4A"/>
          <w:sz w:val="48"/>
          <w:szCs w:val="48"/>
        </w:rPr>
        <w:t xml:space="preserve">Asbestos Awareness Program</w:t>
      </w:r>
    </w:p>
    <w:p>
      <w:pPr>
        <w:spacing w:after="200" w:before="100"/>
        <w:jc w:val="center"/>
      </w:pPr>
      <w:r>
        <w:rPr>
          <w:rFonts w:ascii="Calibri" w:cs="Calibri" w:eastAsia="Calibri" w:hAnsi="Calibri"/>
          <w:i/>
          <w:iCs/>
          <w:color w:val="E8A838"/>
          <w:sz w:val="28"/>
          <w:szCs w:val="28"/>
        </w:rPr>
        <w:t xml:space="preserve">Identification, Protection &amp; Compliance</w:t>
      </w:r>
    </w:p>
    <w:p>
      <w:pPr>
        <w:spacing w:after="0" w:before="600"/>
      </w:pP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Company:</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[COMPANY NAME]</w:t>
            </w:r>
          </w:p>
        </w:tc>
      </w:tr>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Prepared By:</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[NAME / TITLE]</w:t>
            </w:r>
          </w:p>
        </w:tc>
      </w:tr>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Effective Date:</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[DATE]</w:t>
            </w:r>
          </w:p>
        </w:tc>
      </w:tr>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Revision:</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[REV NUMBER]</w:t>
            </w:r>
          </w:p>
        </w:tc>
      </w:tr>
      <w:tr>
        <w:tc>
          <w:tcPr>
            <w:tcW w:type="dxa" w:w="2400"/>
            <w:tcBorders>
              <w:top w:val="none" w:color="FFFFFF" w:sz="0"/>
              <w:left w:val="none" w:color="FFFFFF" w:sz="0"/>
              <w:bottom w:val="none" w:color="FFFFFF" w:sz="0"/>
              <w:right w:val="none" w:color="FFFFFF" w:sz="0"/>
            </w:tcBorders>
            <w:tcMar>
              <w:top w:type="dxa" w:w="40"/>
              <w:left w:type="dxa" w:w="80"/>
              <w:bottom w:type="dxa" w:w="40"/>
              <w:right w:type="dxa" w:w="80"/>
            </w:tcMar>
          </w:tcPr>
          <w:p>
            <w:r>
              <w:rPr>
                <w:rFonts w:ascii="Calibri" w:cs="Calibri" w:eastAsia="Calibri" w:hAnsi="Calibri"/>
                <w:b/>
                <w:bCs/>
                <w:color w:val="1B2A4A"/>
                <w:sz w:val="22"/>
                <w:szCs w:val="22"/>
              </w:rPr>
              <w:t xml:space="preserve">Regulatory Ref:</w:t>
            </w:r>
          </w:p>
        </w:tc>
        <w:tc>
          <w:tcPr>
            <w:tcW w:type="dxa" w:w="3600"/>
            <w:tcBorders>
              <w:top w:val="none" w:color="FFFFFF" w:sz="0"/>
              <w:left w:val="none" w:color="FFFFFF" w:sz="0"/>
              <w:bottom w:val="single" w:color="E8A838" w:sz="1"/>
              <w:right w:val="none" w:color="FFFFFF" w:sz="0"/>
            </w:tcBorders>
            <w:tcMar>
              <w:top w:type="dxa" w:w="40"/>
              <w:left w:type="dxa" w:w="80"/>
              <w:bottom w:type="dxa" w:w="40"/>
              <w:right w:type="dxa" w:w="80"/>
            </w:tcMar>
          </w:tcPr>
          <w:p>
            <w:r>
              <w:rPr>
                <w:rFonts w:ascii="Calibri" w:cs="Calibri" w:eastAsia="Calibri" w:hAnsi="Calibri"/>
                <w:color w:val="333333"/>
                <w:sz w:val="22"/>
                <w:szCs w:val="22"/>
              </w:rPr>
              <w:t xml:space="preserve">29 CFR 1926.1101 / 29 CFR 1910.1001</w:t>
            </w:r>
          </w:p>
        </w:tc>
      </w:tr>
    </w:tbl>
    <w:p>
      <w:pPr>
        <w:spacing w:after="0" w:before="800"/>
      </w:pPr>
    </w:p>
    <w:p>
      <w:pPr>
        <w:jc w:val="center"/>
      </w:pPr>
      <w:r>
        <w:rPr>
          <w:rFonts w:ascii="Calibri" w:cs="Calibri" w:eastAsia="Calibri" w:hAnsi="Calibri"/>
          <w:i/>
          <w:iCs/>
          <w:color w:val="666666"/>
          <w:sz w:val="18"/>
          <w:szCs w:val="18"/>
        </w:rPr>
        <w:t xml:space="preserve">This document is the property of [COMPANY NAME]. Unauthorized reproduction or distribution is prohibited.</w:t>
      </w:r>
    </w:p>
    <w:p>
      <w:r>
        <w:br w:type="page"/>
      </w:r>
    </w:p>
    <w:p>
      <w:pPr>
        <w:pStyle w:val="Heading1"/>
      </w:pPr>
      <w:r>
        <w:rPr>
          <w:rFonts w:ascii="Calibri" w:cs="Calibri" w:eastAsia="Calibri" w:hAnsi="Calibri"/>
          <w:b/>
          <w:bCs/>
          <w:color w:val="1B2A4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rPr>
          <w:rFonts w:ascii="Calibri" w:cs="Calibri" w:eastAsia="Calibri" w:hAnsi="Calibri"/>
          <w:b/>
          <w:bCs/>
          <w:color w:val="1B2A4A"/>
          <w:sz w:val="32"/>
          <w:szCs w:val="32"/>
        </w:rPr>
        <w:t xml:space="preserve">1. Purpose &amp; Scope</w:t>
      </w:r>
    </w:p>
    <w:p>
      <w:pPr>
        <w:spacing w:after="80" w:before="80"/>
        <w:jc w:val="left"/>
      </w:pPr>
      <w:r>
        <w:rPr>
          <w:rFonts w:ascii="Calibri" w:cs="Calibri" w:eastAsia="Calibri" w:hAnsi="Calibri"/>
          <w:b w:val="false"/>
          <w:bCs w:val="false"/>
          <w:i w:val="false"/>
          <w:iCs w:val="false"/>
          <w:color w:val="333333"/>
          <w:sz w:val="22"/>
          <w:szCs w:val="22"/>
        </w:rPr>
        <w:t xml:space="preserve">[COMPANY NAME] is committed to protecting employees from the hazards associated with asbestos exposure. This program establishes procedures for identifying asbestos-containing materials (ACM), minimizing exposure, and ensuring compliance with OSHA standards for both general industry and construction.</w:t>
      </w:r>
    </w:p>
    <w:p>
      <w:pPr>
        <w:spacing w:after="80" w:before="80"/>
        <w:jc w:val="left"/>
      </w:pPr>
      <w:r>
        <w:rPr>
          <w:rFonts w:ascii="Calibri" w:cs="Calibri" w:eastAsia="Calibri" w:hAnsi="Calibri"/>
          <w:b w:val="false"/>
          <w:bCs w:val="false"/>
          <w:i w:val="false"/>
          <w:iCs w:val="false"/>
          <w:color w:val="333333"/>
          <w:sz w:val="22"/>
          <w:szCs w:val="22"/>
        </w:rPr>
        <w:t xml:space="preserve">This program applies to all employees, contractors, and visitors at [COMPANY NAME] worksites where asbestos-containing materials may be present or disturbed.</w:t>
      </w:r>
    </w:p>
    <w:p>
      <w:pPr>
        <w:pStyle w:val="Heading1"/>
      </w:pPr>
      <w:r>
        <w:rPr>
          <w:rFonts w:ascii="Calibri" w:cs="Calibri" w:eastAsia="Calibri" w:hAnsi="Calibri"/>
          <w:b/>
          <w:bCs/>
          <w:color w:val="1B2A4A"/>
          <w:sz w:val="32"/>
          <w:szCs w:val="32"/>
        </w:rPr>
        <w:t xml:space="preserve">2. Regulatory References</w:t>
      </w:r>
    </w:p>
    <w:p>
      <w:pPr>
        <w:pStyle w:val="ListParagraph"/>
        <w:numPr>
          <w:ilvl w:val="0"/>
          <w:numId w:val="2"/>
        </w:numPr>
        <w:spacing w:after="40" w:before="40"/>
      </w:pPr>
      <w:r>
        <w:rPr>
          <w:rFonts w:ascii="Calibri" w:cs="Calibri" w:eastAsia="Calibri" w:hAnsi="Calibri"/>
          <w:color w:val="333333"/>
          <w:sz w:val="22"/>
          <w:szCs w:val="22"/>
        </w:rPr>
        <w:t xml:space="preserve">29 CFR 1926.1101 — Asbestos (Construction Industry)</w:t>
      </w:r>
    </w:p>
    <w:p>
      <w:pPr>
        <w:pStyle w:val="ListParagraph"/>
        <w:numPr>
          <w:ilvl w:val="0"/>
          <w:numId w:val="2"/>
        </w:numPr>
        <w:spacing w:after="40" w:before="40"/>
      </w:pPr>
      <w:r>
        <w:rPr>
          <w:rFonts w:ascii="Calibri" w:cs="Calibri" w:eastAsia="Calibri" w:hAnsi="Calibri"/>
          <w:color w:val="333333"/>
          <w:sz w:val="22"/>
          <w:szCs w:val="22"/>
        </w:rPr>
        <w:t xml:space="preserve">29 CFR 1910.1001 — Asbestos (General Industry)</w:t>
      </w:r>
    </w:p>
    <w:p>
      <w:pPr>
        <w:pStyle w:val="ListParagraph"/>
        <w:numPr>
          <w:ilvl w:val="0"/>
          <w:numId w:val="2"/>
        </w:numPr>
        <w:spacing w:after="40" w:before="40"/>
      </w:pPr>
      <w:r>
        <w:rPr>
          <w:rFonts w:ascii="Calibri" w:cs="Calibri" w:eastAsia="Calibri" w:hAnsi="Calibri"/>
          <w:color w:val="333333"/>
          <w:sz w:val="22"/>
          <w:szCs w:val="22"/>
        </w:rPr>
        <w:t xml:space="preserve">40 CFR 61 Subpart M — National Emission Standards for Asbestos</w:t>
      </w:r>
    </w:p>
    <w:p>
      <w:pPr>
        <w:pStyle w:val="ListParagraph"/>
        <w:numPr>
          <w:ilvl w:val="0"/>
          <w:numId w:val="2"/>
        </w:numPr>
        <w:spacing w:after="40" w:before="40"/>
      </w:pPr>
      <w:r>
        <w:rPr>
          <w:rFonts w:ascii="Calibri" w:cs="Calibri" w:eastAsia="Calibri" w:hAnsi="Calibri"/>
          <w:color w:val="333333"/>
          <w:sz w:val="22"/>
          <w:szCs w:val="22"/>
        </w:rPr>
        <w:t xml:space="preserve">EPA AHERA — Asbestos Hazard Emergency Response Act</w:t>
      </w:r>
    </w:p>
    <w:p>
      <w:pPr>
        <w:pStyle w:val="ListParagraph"/>
        <w:numPr>
          <w:ilvl w:val="0"/>
          <w:numId w:val="2"/>
        </w:numPr>
        <w:spacing w:after="40" w:before="40"/>
      </w:pPr>
      <w:r>
        <w:rPr>
          <w:rFonts w:ascii="Calibri" w:cs="Calibri" w:eastAsia="Calibri" w:hAnsi="Calibri"/>
          <w:color w:val="333333"/>
          <w:sz w:val="22"/>
          <w:szCs w:val="22"/>
        </w:rPr>
        <w:t xml:space="preserve">OSHA Fact Sheet: Asbestos</w:t>
      </w:r>
    </w:p>
    <w:p>
      <w:pPr>
        <w:pStyle w:val="Heading1"/>
      </w:pPr>
      <w:r>
        <w:rPr>
          <w:rFonts w:ascii="Calibri" w:cs="Calibri" w:eastAsia="Calibri" w:hAnsi="Calibri"/>
          <w:b/>
          <w:bCs/>
          <w:color w:val="1B2A4A"/>
          <w:sz w:val="32"/>
          <w:szCs w:val="32"/>
        </w:rPr>
        <w:t xml:space="preserve">3. Definitions</w:t>
      </w:r>
    </w:p>
    <w:p>
      <w:pPr>
        <w:pStyle w:val="Heading2"/>
      </w:pPr>
      <w:r>
        <w:rPr>
          <w:rFonts w:ascii="Calibri" w:cs="Calibri" w:eastAsia="Calibri" w:hAnsi="Calibri"/>
          <w:b/>
          <w:bCs/>
          <w:color w:val="1B2A4A"/>
          <w:sz w:val="26"/>
          <w:szCs w:val="26"/>
        </w:rPr>
        <w:t xml:space="preserve">3.1 Types of Asbestos</w:t>
      </w:r>
    </w:p>
    <w:p>
      <w:pPr>
        <w:pStyle w:val="ListParagraph"/>
        <w:numPr>
          <w:ilvl w:val="0"/>
          <w:numId w:val="2"/>
        </w:numPr>
        <w:spacing w:after="40" w:before="40"/>
      </w:pPr>
      <w:r>
        <w:rPr>
          <w:rFonts w:ascii="Calibri" w:cs="Calibri" w:eastAsia="Calibri" w:hAnsi="Calibri"/>
          <w:b/>
          <w:bCs/>
          <w:color w:val="333333"/>
          <w:sz w:val="22"/>
          <w:szCs w:val="22"/>
        </w:rPr>
        <w:t xml:space="preserve">Chrysotile (White Asbestos): </w:t>
      </w:r>
      <w:r>
        <w:rPr>
          <w:rFonts w:ascii="Calibri" w:cs="Calibri" w:eastAsia="Calibri" w:hAnsi="Calibri"/>
          <w:color w:val="333333"/>
          <w:sz w:val="22"/>
          <w:szCs w:val="22"/>
        </w:rPr>
        <w:t xml:space="preserve">Most commonly used form (~95% of asbestos in buildings). Serpentine fiber with curly structure.</w:t>
      </w:r>
    </w:p>
    <w:p>
      <w:pPr>
        <w:pStyle w:val="ListParagraph"/>
        <w:numPr>
          <w:ilvl w:val="0"/>
          <w:numId w:val="2"/>
        </w:numPr>
        <w:spacing w:after="40" w:before="40"/>
      </w:pPr>
      <w:r>
        <w:rPr>
          <w:rFonts w:ascii="Calibri" w:cs="Calibri" w:eastAsia="Calibri" w:hAnsi="Calibri"/>
          <w:b/>
          <w:bCs/>
          <w:color w:val="333333"/>
          <w:sz w:val="22"/>
          <w:szCs w:val="22"/>
        </w:rPr>
        <w:t xml:space="preserve">Amosite (Brown Asbestos): </w:t>
      </w:r>
      <w:r>
        <w:rPr>
          <w:rFonts w:ascii="Calibri" w:cs="Calibri" w:eastAsia="Calibri" w:hAnsi="Calibri"/>
          <w:color w:val="333333"/>
          <w:sz w:val="22"/>
          <w:szCs w:val="22"/>
        </w:rPr>
        <w:t xml:space="preserve">Amphibole fiber commonly found in insulation, ceiling tiles, and thermal products.</w:t>
      </w:r>
    </w:p>
    <w:p>
      <w:pPr>
        <w:pStyle w:val="ListParagraph"/>
        <w:numPr>
          <w:ilvl w:val="0"/>
          <w:numId w:val="2"/>
        </w:numPr>
        <w:spacing w:after="40" w:before="40"/>
      </w:pPr>
      <w:r>
        <w:rPr>
          <w:rFonts w:ascii="Calibri" w:cs="Calibri" w:eastAsia="Calibri" w:hAnsi="Calibri"/>
          <w:b/>
          <w:bCs/>
          <w:color w:val="333333"/>
          <w:sz w:val="22"/>
          <w:szCs w:val="22"/>
        </w:rPr>
        <w:t xml:space="preserve">Crocidolite (Blue Asbestos): </w:t>
      </w:r>
      <w:r>
        <w:rPr>
          <w:rFonts w:ascii="Calibri" w:cs="Calibri" w:eastAsia="Calibri" w:hAnsi="Calibri"/>
          <w:color w:val="333333"/>
          <w:sz w:val="22"/>
          <w:szCs w:val="22"/>
        </w:rPr>
        <w:t xml:space="preserve">Most hazardous amphibole fiber, primarily found in pipe insulation and spray-on coatings.</w:t>
      </w:r>
    </w:p>
    <w:p>
      <w:pPr>
        <w:pStyle w:val="Heading2"/>
      </w:pPr>
      <w:r>
        <w:rPr>
          <w:rFonts w:ascii="Calibri" w:cs="Calibri" w:eastAsia="Calibri" w:hAnsi="Calibri"/>
          <w:b/>
          <w:bCs/>
          <w:color w:val="1B2A4A"/>
          <w:sz w:val="26"/>
          <w:szCs w:val="26"/>
        </w:rPr>
        <w:t xml:space="preserve">3.2 Common Locations in Construction</w:t>
      </w:r>
    </w:p>
    <w:p>
      <w:pPr>
        <w:pStyle w:val="ListParagraph"/>
        <w:numPr>
          <w:ilvl w:val="0"/>
          <w:numId w:val="2"/>
        </w:numPr>
        <w:spacing w:after="40" w:before="40"/>
      </w:pPr>
      <w:r>
        <w:rPr>
          <w:rFonts w:ascii="Calibri" w:cs="Calibri" w:eastAsia="Calibri" w:hAnsi="Calibri"/>
          <w:color w:val="333333"/>
          <w:sz w:val="22"/>
          <w:szCs w:val="22"/>
        </w:rPr>
        <w:t xml:space="preserve">Thermal system insulation (pipes, boilers, ducts)</w:t>
      </w:r>
    </w:p>
    <w:p>
      <w:pPr>
        <w:pStyle w:val="ListParagraph"/>
        <w:numPr>
          <w:ilvl w:val="0"/>
          <w:numId w:val="2"/>
        </w:numPr>
        <w:spacing w:after="40" w:before="40"/>
      </w:pPr>
      <w:r>
        <w:rPr>
          <w:rFonts w:ascii="Calibri" w:cs="Calibri" w:eastAsia="Calibri" w:hAnsi="Calibri"/>
          <w:color w:val="333333"/>
          <w:sz w:val="22"/>
          <w:szCs w:val="22"/>
        </w:rPr>
        <w:t xml:space="preserve">Floor tiles and mastic/adhesive</w:t>
      </w:r>
    </w:p>
    <w:p>
      <w:pPr>
        <w:pStyle w:val="ListParagraph"/>
        <w:numPr>
          <w:ilvl w:val="0"/>
          <w:numId w:val="2"/>
        </w:numPr>
        <w:spacing w:after="40" w:before="40"/>
      </w:pPr>
      <w:r>
        <w:rPr>
          <w:rFonts w:ascii="Calibri" w:cs="Calibri" w:eastAsia="Calibri" w:hAnsi="Calibri"/>
          <w:color w:val="333333"/>
          <w:sz w:val="22"/>
          <w:szCs w:val="22"/>
        </w:rPr>
        <w:t xml:space="preserve">Roofing materials (felts, shingles)</w:t>
      </w:r>
    </w:p>
    <w:p>
      <w:pPr>
        <w:pStyle w:val="ListParagraph"/>
        <w:numPr>
          <w:ilvl w:val="0"/>
          <w:numId w:val="2"/>
        </w:numPr>
        <w:spacing w:after="40" w:before="40"/>
      </w:pPr>
      <w:r>
        <w:rPr>
          <w:rFonts w:ascii="Calibri" w:cs="Calibri" w:eastAsia="Calibri" w:hAnsi="Calibri"/>
          <w:color w:val="333333"/>
          <w:sz w:val="22"/>
          <w:szCs w:val="22"/>
        </w:rPr>
        <w:t xml:space="preserve">Siding and transite panels</w:t>
      </w:r>
    </w:p>
    <w:p>
      <w:pPr>
        <w:pStyle w:val="ListParagraph"/>
        <w:numPr>
          <w:ilvl w:val="0"/>
          <w:numId w:val="2"/>
        </w:numPr>
        <w:spacing w:after="40" w:before="40"/>
      </w:pPr>
      <w:r>
        <w:rPr>
          <w:rFonts w:ascii="Calibri" w:cs="Calibri" w:eastAsia="Calibri" w:hAnsi="Calibri"/>
          <w:color w:val="333333"/>
          <w:sz w:val="22"/>
          <w:szCs w:val="22"/>
        </w:rPr>
        <w:t xml:space="preserve">Pipe wrap and lagging</w:t>
      </w:r>
    </w:p>
    <w:p>
      <w:pPr>
        <w:pStyle w:val="ListParagraph"/>
        <w:numPr>
          <w:ilvl w:val="0"/>
          <w:numId w:val="2"/>
        </w:numPr>
        <w:spacing w:after="40" w:before="40"/>
      </w:pPr>
      <w:r>
        <w:rPr>
          <w:rFonts w:ascii="Calibri" w:cs="Calibri" w:eastAsia="Calibri" w:hAnsi="Calibri"/>
          <w:color w:val="333333"/>
          <w:sz w:val="22"/>
          <w:szCs w:val="22"/>
        </w:rPr>
        <w:t xml:space="preserve">Fireproofing and spray-applied materials</w:t>
      </w:r>
    </w:p>
    <w:p>
      <w:pPr>
        <w:pStyle w:val="ListParagraph"/>
        <w:numPr>
          <w:ilvl w:val="0"/>
          <w:numId w:val="2"/>
        </w:numPr>
        <w:spacing w:after="40" w:before="40"/>
      </w:pPr>
      <w:r>
        <w:rPr>
          <w:rFonts w:ascii="Calibri" w:cs="Calibri" w:eastAsia="Calibri" w:hAnsi="Calibri"/>
          <w:color w:val="333333"/>
          <w:sz w:val="22"/>
          <w:szCs w:val="22"/>
        </w:rPr>
        <w:t xml:space="preserve">Joint compound and texture coatings</w:t>
      </w:r>
    </w:p>
    <w:p>
      <w:pPr>
        <w:pStyle w:val="ListParagraph"/>
        <w:numPr>
          <w:ilvl w:val="0"/>
          <w:numId w:val="2"/>
        </w:numPr>
        <w:spacing w:after="40" w:before="40"/>
      </w:pPr>
      <w:r>
        <w:rPr>
          <w:rFonts w:ascii="Calibri" w:cs="Calibri" w:eastAsia="Calibri" w:hAnsi="Calibri"/>
          <w:color w:val="333333"/>
          <w:sz w:val="22"/>
          <w:szCs w:val="22"/>
        </w:rPr>
        <w:t xml:space="preserve">Gaskets and packing materials</w:t>
      </w:r>
    </w:p>
    <w:p>
      <w:pPr>
        <w:pStyle w:val="Heading2"/>
      </w:pPr>
      <w:r>
        <w:rPr>
          <w:rFonts w:ascii="Calibri" w:cs="Calibri" w:eastAsia="Calibri" w:hAnsi="Calibri"/>
          <w:b/>
          <w:bCs/>
          <w:color w:val="1B2A4A"/>
          <w:sz w:val="26"/>
          <w:szCs w:val="26"/>
        </w:rPr>
        <w:t xml:space="preserve">3.3 Exposure Classifications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2400"/>
        <w:gridCol w:w="5760"/>
      </w:tblGrid>
      <w:tr>
        <w:tc>
          <w:tcPr>
            <w:tcW w:type="dxa" w:w="12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Class</w:t>
            </w:r>
          </w:p>
        </w:tc>
        <w:tc>
          <w:tcPr>
            <w:tcW w:type="dxa" w:w="24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Description</w:t>
            </w:r>
          </w:p>
        </w:tc>
        <w:tc>
          <w:tcPr>
            <w:tcW w:type="dxa" w:w="57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Activities</w:t>
            </w:r>
          </w:p>
        </w:tc>
      </w:tr>
      <w:tr>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Class I</w:t>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Highest risk</w:t>
            </w:r>
          </w:p>
        </w:tc>
        <w:tc>
          <w:tcPr>
            <w:tcW w:type="dxa" w:w="57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Removal of thermal system insulation or surfacing ACM</w:t>
            </w:r>
          </w:p>
        </w:tc>
      </w:tr>
      <w:tr>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Class II</w:t>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High risk</w:t>
            </w:r>
          </w:p>
        </w:tc>
        <w:tc>
          <w:tcPr>
            <w:tcW w:type="dxa" w:w="57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Removal of other ACM (flooring, siding, roofing, gaskets)</w:t>
            </w:r>
          </w:p>
        </w:tc>
      </w:tr>
      <w:tr>
        <w:tc>
          <w:tcPr>
            <w:tcW w:type="dxa" w:w="12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Class III</w:t>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Moderate risk</w:t>
            </w:r>
          </w:p>
        </w:tc>
        <w:tc>
          <w:tcPr>
            <w:tcW w:type="dxa" w:w="57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Repair and maintenance of ACM where ACM may be disturbed</w:t>
            </w:r>
          </w:p>
        </w:tc>
      </w:tr>
      <w:tr>
        <w:tc>
          <w:tcPr>
            <w:tcW w:type="dxa" w:w="12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Class IV</w:t>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Lower risk</w:t>
            </w:r>
          </w:p>
        </w:tc>
        <w:tc>
          <w:tcPr>
            <w:tcW w:type="dxa" w:w="57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Custodial activities in areas with ACM (cleanup of ACM debris)</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pStyle w:val="ListParagraph"/>
        <w:numPr>
          <w:ilvl w:val="0"/>
          <w:numId w:val="2"/>
        </w:numPr>
        <w:spacing w:after="40" w:before="40"/>
      </w:pPr>
      <w:r>
        <w:rPr>
          <w:rFonts w:ascii="Calibri" w:cs="Calibri" w:eastAsia="Calibri" w:hAnsi="Calibri"/>
          <w:b/>
          <w:bCs/>
          <w:color w:val="333333"/>
          <w:sz w:val="22"/>
          <w:szCs w:val="22"/>
        </w:rPr>
        <w:t xml:space="preserve">Maintenance Activities: </w:t>
      </w:r>
      <w:r>
        <w:rPr>
          <w:rFonts w:ascii="Calibri" w:cs="Calibri" w:eastAsia="Calibri" w:hAnsi="Calibri"/>
          <w:color w:val="333333"/>
          <w:sz w:val="22"/>
          <w:szCs w:val="22"/>
        </w:rPr>
        <w:t xml:space="preserve">Any work that disturbs or may disturb ACM. Maintenance workers must receive Class III training at minimum.</w:t>
      </w:r>
    </w:p>
    <w:p>
      <w:pPr>
        <w:pStyle w:val="Heading1"/>
      </w:pPr>
      <w:r>
        <w:rPr>
          <w:rFonts w:ascii="Calibri" w:cs="Calibri" w:eastAsia="Calibri" w:hAnsi="Calibri"/>
          <w:b/>
          <w:bCs/>
          <w:color w:val="1B2A4A"/>
          <w:sz w:val="32"/>
          <w:szCs w:val="32"/>
        </w:rPr>
        <w:t xml:space="preserve">4. Permissible Exposure Limits</w:t>
      </w:r>
    </w:p>
    <w:p>
      <w:pPr>
        <w:spacing w:after="80" w:before="80"/>
        <w:jc w:val="left"/>
      </w:pPr>
      <w:r>
        <w:rPr>
          <w:rFonts w:ascii="Calibri" w:cs="Calibri" w:eastAsia="Calibri" w:hAnsi="Calibri"/>
          <w:b w:val="false"/>
          <w:bCs w:val="false"/>
          <w:i w:val="false"/>
          <w:iCs w:val="false"/>
          <w:color w:val="333333"/>
          <w:sz w:val="22"/>
          <w:szCs w:val="22"/>
        </w:rPr>
        <w:t xml:space="preserve">OSHA has established the following exposure limits for airborne asbestos fibers: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Limit Type</w:t>
            </w:r>
          </w:p>
        </w:tc>
        <w:tc>
          <w:tcPr>
            <w:tcW w:type="dxa" w:w="312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Concentration</w:t>
            </w:r>
          </w:p>
        </w:tc>
        <w:tc>
          <w:tcPr>
            <w:tcW w:type="dxa" w:w="312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Averaging Period</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PEL (Permissible Exposure Limit)</w:t>
            </w:r>
          </w:p>
        </w:tc>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0.1 f/cc</w:t>
            </w:r>
          </w:p>
        </w:tc>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8-hour TWA</w:t>
            </w:r>
          </w:p>
        </w:tc>
      </w:tr>
      <w:tr>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Excursion Limit</w:t>
            </w:r>
          </w:p>
        </w:tc>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1.0 f/cc</w:t>
            </w:r>
          </w:p>
        </w:tc>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30-minute average</w:t>
            </w:r>
          </w:p>
        </w:tc>
      </w:tr>
    </w:tbl>
    <w:p>
      <w:pPr>
        <w:spacing w:after="80" w:before="80"/>
        <w:jc w:val="left"/>
      </w:pPr>
      <w:r>
        <w:rPr>
          <w:rFonts w:ascii="Calibri" w:cs="Calibri" w:eastAsia="Calibri" w:hAnsi="Calibri"/>
          <w:b w:val="false"/>
          <w:bCs w:val="false"/>
          <w:i w:val="false"/>
          <w:iCs w:val="false"/>
          <w:color w:val="333333"/>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8A838" w:sz="1"/>
              <w:left w:val="single" w:color="E8A838" w:sz="6"/>
              <w:bottom w:val="single" w:color="E8A838" w:sz="1"/>
              <w:right w:val="single" w:color="E8A838" w:sz="1"/>
            </w:tcBorders>
            <w:shd w:fill="FFF8EC" w:val="clear"/>
            <w:tcMar>
              <w:top w:type="dxa" w:w="80"/>
              <w:left w:type="dxa" w:w="120"/>
              <w:bottom w:type="dxa" w:w="80"/>
              <w:right w:type="dxa" w:w="120"/>
            </w:tcMar>
          </w:tcPr>
          <w:p>
            <w:r>
              <w:rPr>
                <w:rFonts w:ascii="Calibri" w:cs="Calibri" w:eastAsia="Calibri" w:hAnsi="Calibri"/>
                <w:b/>
                <w:bCs/>
                <w:color w:val="1B2A4A"/>
                <w:sz w:val="20"/>
                <w:szCs w:val="20"/>
              </w:rPr>
              <w:t xml:space="preserve">NOTE: </w:t>
            </w:r>
            <w:r>
              <w:rPr>
                <w:rFonts w:ascii="Calibri" w:cs="Calibri" w:eastAsia="Calibri" w:hAnsi="Calibri"/>
                <w:color w:val="333333"/>
                <w:sz w:val="20"/>
                <w:szCs w:val="20"/>
              </w:rPr>
              <w:t xml:space="preserve">There is no safe level of asbestos exposure. All exposures shall be reduced to the lowest feasible level regardless of the PEL.</w:t>
            </w:r>
          </w:p>
        </w:tc>
      </w:tr>
    </w:tbl>
    <w:p>
      <w:pPr>
        <w:pStyle w:val="Heading1"/>
      </w:pPr>
      <w:r>
        <w:rPr>
          <w:rFonts w:ascii="Calibri" w:cs="Calibri" w:eastAsia="Calibri" w:hAnsi="Calibri"/>
          <w:b/>
          <w:bCs/>
          <w:color w:val="1B2A4A"/>
          <w:sz w:val="32"/>
          <w:szCs w:val="32"/>
        </w:rPr>
        <w:t xml:space="preserve">5. Roles &amp; Responsibilities</w:t>
      </w:r>
    </w:p>
    <w:p>
      <w:pPr>
        <w:pStyle w:val="Heading2"/>
      </w:pPr>
      <w:r>
        <w:rPr>
          <w:rFonts w:ascii="Calibri" w:cs="Calibri" w:eastAsia="Calibri" w:hAnsi="Calibri"/>
          <w:b/>
          <w:bCs/>
          <w:color w:val="1B2A4A"/>
          <w:sz w:val="26"/>
          <w:szCs w:val="26"/>
        </w:rPr>
        <w:t xml:space="preserve">5.1 Management</w:t>
      </w:r>
    </w:p>
    <w:p>
      <w:pPr>
        <w:pStyle w:val="ListParagraph"/>
        <w:numPr>
          <w:ilvl w:val="0"/>
          <w:numId w:val="2"/>
        </w:numPr>
        <w:spacing w:after="40" w:before="40"/>
      </w:pPr>
      <w:r>
        <w:rPr>
          <w:rFonts w:ascii="Calibri" w:cs="Calibri" w:eastAsia="Calibri" w:hAnsi="Calibri"/>
          <w:color w:val="333333"/>
          <w:sz w:val="22"/>
          <w:szCs w:val="22"/>
        </w:rPr>
        <w:t xml:space="preserve">Provide resources for asbestos identification, abatement, and training</w:t>
      </w:r>
    </w:p>
    <w:p>
      <w:pPr>
        <w:pStyle w:val="ListParagraph"/>
        <w:numPr>
          <w:ilvl w:val="0"/>
          <w:numId w:val="2"/>
        </w:numPr>
        <w:spacing w:after="40" w:before="40"/>
      </w:pPr>
      <w:r>
        <w:rPr>
          <w:rFonts w:ascii="Calibri" w:cs="Calibri" w:eastAsia="Calibri" w:hAnsi="Calibri"/>
          <w:color w:val="333333"/>
          <w:sz w:val="22"/>
          <w:szCs w:val="22"/>
        </w:rPr>
        <w:t xml:space="preserve">Ensure compliance with federal, state, and local asbestos regulations</w:t>
      </w:r>
    </w:p>
    <w:p>
      <w:pPr>
        <w:pStyle w:val="ListParagraph"/>
        <w:numPr>
          <w:ilvl w:val="0"/>
          <w:numId w:val="2"/>
        </w:numPr>
        <w:spacing w:after="40" w:before="40"/>
      </w:pPr>
      <w:r>
        <w:rPr>
          <w:rFonts w:ascii="Calibri" w:cs="Calibri" w:eastAsia="Calibri" w:hAnsi="Calibri"/>
          <w:color w:val="333333"/>
          <w:sz w:val="22"/>
          <w:szCs w:val="22"/>
        </w:rPr>
        <w:t xml:space="preserve">Designate a competent person for asbestos-related work</w:t>
      </w:r>
    </w:p>
    <w:p>
      <w:pPr>
        <w:pStyle w:val="ListParagraph"/>
        <w:numPr>
          <w:ilvl w:val="0"/>
          <w:numId w:val="2"/>
        </w:numPr>
        <w:spacing w:after="40" w:before="40"/>
      </w:pPr>
      <w:r>
        <w:rPr>
          <w:rFonts w:ascii="Calibri" w:cs="Calibri" w:eastAsia="Calibri" w:hAnsi="Calibri"/>
          <w:color w:val="333333"/>
          <w:sz w:val="22"/>
          <w:szCs w:val="22"/>
        </w:rPr>
        <w:t xml:space="preserve">Maintain records of all asbestos surveys, monitoring, and training</w:t>
      </w:r>
    </w:p>
    <w:p>
      <w:pPr>
        <w:pStyle w:val="Heading2"/>
      </w:pPr>
      <w:r>
        <w:rPr>
          <w:rFonts w:ascii="Calibri" w:cs="Calibri" w:eastAsia="Calibri" w:hAnsi="Calibri"/>
          <w:b/>
          <w:bCs/>
          <w:color w:val="1B2A4A"/>
          <w:sz w:val="26"/>
          <w:szCs w:val="26"/>
        </w:rPr>
        <w:t xml:space="preserve">5.2 Competent Person</w:t>
      </w:r>
    </w:p>
    <w:p>
      <w:pPr>
        <w:spacing w:after="80" w:before="80"/>
        <w:jc w:val="left"/>
      </w:pPr>
      <w:r>
        <w:rPr>
          <w:rFonts w:ascii="Calibri" w:cs="Calibri" w:eastAsia="Calibri" w:hAnsi="Calibri"/>
          <w:b w:val="false"/>
          <w:bCs w:val="false"/>
          <w:i w:val="false"/>
          <w:iCs w:val="false"/>
          <w:color w:val="333333"/>
          <w:sz w:val="22"/>
          <w:szCs w:val="22"/>
        </w:rPr>
        <w:t xml:space="preserve">A designated competent person must be present on-site during any Class I, II, III, or IV asbestos work. The competent person shall:</w:t>
      </w:r>
    </w:p>
    <w:p>
      <w:pPr>
        <w:pStyle w:val="ListParagraph"/>
        <w:numPr>
          <w:ilvl w:val="0"/>
          <w:numId w:val="2"/>
        </w:numPr>
        <w:spacing w:after="40" w:before="40"/>
      </w:pPr>
      <w:r>
        <w:rPr>
          <w:rFonts w:ascii="Calibri" w:cs="Calibri" w:eastAsia="Calibri" w:hAnsi="Calibri"/>
          <w:color w:val="333333"/>
          <w:sz w:val="22"/>
          <w:szCs w:val="22"/>
        </w:rPr>
        <w:t xml:space="preserve">Be trained in asbestos identification, hazards, and control measures</w:t>
      </w:r>
    </w:p>
    <w:p>
      <w:pPr>
        <w:pStyle w:val="ListParagraph"/>
        <w:numPr>
          <w:ilvl w:val="0"/>
          <w:numId w:val="2"/>
        </w:numPr>
        <w:spacing w:after="40" w:before="40"/>
      </w:pPr>
      <w:r>
        <w:rPr>
          <w:rFonts w:ascii="Calibri" w:cs="Calibri" w:eastAsia="Calibri" w:hAnsi="Calibri"/>
          <w:color w:val="333333"/>
          <w:sz w:val="22"/>
          <w:szCs w:val="22"/>
        </w:rPr>
        <w:t xml:space="preserve">Have the authority to take prompt corrective action</w:t>
      </w:r>
    </w:p>
    <w:p>
      <w:pPr>
        <w:pStyle w:val="ListParagraph"/>
        <w:numPr>
          <w:ilvl w:val="0"/>
          <w:numId w:val="2"/>
        </w:numPr>
        <w:spacing w:after="40" w:before="40"/>
      </w:pPr>
      <w:r>
        <w:rPr>
          <w:rFonts w:ascii="Calibri" w:cs="Calibri" w:eastAsia="Calibri" w:hAnsi="Calibri"/>
          <w:color w:val="333333"/>
          <w:sz w:val="22"/>
          <w:szCs w:val="22"/>
        </w:rPr>
        <w:t xml:space="preserve">Conduct frequent and regular inspections of the work area</w:t>
      </w:r>
    </w:p>
    <w:p>
      <w:pPr>
        <w:pStyle w:val="ListParagraph"/>
        <w:numPr>
          <w:ilvl w:val="0"/>
          <w:numId w:val="2"/>
        </w:numPr>
        <w:spacing w:after="40" w:before="40"/>
      </w:pPr>
      <w:r>
        <w:rPr>
          <w:rFonts w:ascii="Calibri" w:cs="Calibri" w:eastAsia="Calibri" w:hAnsi="Calibri"/>
          <w:color w:val="333333"/>
          <w:sz w:val="22"/>
          <w:szCs w:val="22"/>
        </w:rPr>
        <w:t xml:space="preserve">Ensure proper engineering controls, work practices, and PPE are in use</w:t>
      </w:r>
    </w:p>
    <w:p>
      <w:pPr>
        <w:pStyle w:val="ListParagraph"/>
        <w:numPr>
          <w:ilvl w:val="0"/>
          <w:numId w:val="2"/>
        </w:numPr>
        <w:spacing w:after="40" w:before="40"/>
      </w:pPr>
      <w:r>
        <w:rPr>
          <w:rFonts w:ascii="Calibri" w:cs="Calibri" w:eastAsia="Calibri" w:hAnsi="Calibri"/>
          <w:color w:val="333333"/>
          <w:sz w:val="22"/>
          <w:szCs w:val="22"/>
        </w:rPr>
        <w:t xml:space="preserve">For Class I/II work: complete EPA-accredited training (Contractor/Supervisor course)</w:t>
      </w:r>
    </w:p>
    <w:p>
      <w:pPr>
        <w:pStyle w:val="Heading2"/>
      </w:pPr>
      <w:r>
        <w:rPr>
          <w:rFonts w:ascii="Calibri" w:cs="Calibri" w:eastAsia="Calibri" w:hAnsi="Calibri"/>
          <w:b/>
          <w:bCs/>
          <w:color w:val="1B2A4A"/>
          <w:sz w:val="26"/>
          <w:szCs w:val="26"/>
        </w:rPr>
        <w:t xml:space="preserve">5.3 Supervisors</w:t>
      </w:r>
    </w:p>
    <w:p>
      <w:pPr>
        <w:pStyle w:val="ListParagraph"/>
        <w:numPr>
          <w:ilvl w:val="0"/>
          <w:numId w:val="2"/>
        </w:numPr>
        <w:spacing w:after="40" w:before="40"/>
      </w:pPr>
      <w:r>
        <w:rPr>
          <w:rFonts w:ascii="Calibri" w:cs="Calibri" w:eastAsia="Calibri" w:hAnsi="Calibri"/>
          <w:color w:val="333333"/>
          <w:sz w:val="22"/>
          <w:szCs w:val="22"/>
        </w:rPr>
        <w:t xml:space="preserve">Ensure work does not disturb suspect or known ACM without proper protocols</w:t>
      </w:r>
    </w:p>
    <w:p>
      <w:pPr>
        <w:pStyle w:val="ListParagraph"/>
        <w:numPr>
          <w:ilvl w:val="0"/>
          <w:numId w:val="2"/>
        </w:numPr>
        <w:spacing w:after="40" w:before="40"/>
      </w:pPr>
      <w:r>
        <w:rPr>
          <w:rFonts w:ascii="Calibri" w:cs="Calibri" w:eastAsia="Calibri" w:hAnsi="Calibri"/>
          <w:color w:val="333333"/>
          <w:sz w:val="22"/>
          <w:szCs w:val="22"/>
        </w:rPr>
        <w:t xml:space="preserve">Stop work if unexpected ACM is encountered</w:t>
      </w:r>
    </w:p>
    <w:p>
      <w:pPr>
        <w:pStyle w:val="ListParagraph"/>
        <w:numPr>
          <w:ilvl w:val="0"/>
          <w:numId w:val="2"/>
        </w:numPr>
        <w:spacing w:after="40" w:before="40"/>
      </w:pPr>
      <w:r>
        <w:rPr>
          <w:rFonts w:ascii="Calibri" w:cs="Calibri" w:eastAsia="Calibri" w:hAnsi="Calibri"/>
          <w:color w:val="333333"/>
          <w:sz w:val="22"/>
          <w:szCs w:val="22"/>
        </w:rPr>
        <w:t xml:space="preserve">Enforce regulated area boundaries and access controls</w:t>
      </w:r>
    </w:p>
    <w:p>
      <w:pPr>
        <w:pStyle w:val="Heading2"/>
      </w:pPr>
      <w:r>
        <w:rPr>
          <w:rFonts w:ascii="Calibri" w:cs="Calibri" w:eastAsia="Calibri" w:hAnsi="Calibri"/>
          <w:b/>
          <w:bCs/>
          <w:color w:val="1B2A4A"/>
          <w:sz w:val="26"/>
          <w:szCs w:val="26"/>
        </w:rPr>
        <w:t xml:space="preserve">5.4 Employees</w:t>
      </w:r>
    </w:p>
    <w:p>
      <w:pPr>
        <w:pStyle w:val="ListParagraph"/>
        <w:numPr>
          <w:ilvl w:val="0"/>
          <w:numId w:val="2"/>
        </w:numPr>
        <w:spacing w:after="40" w:before="40"/>
      </w:pPr>
      <w:r>
        <w:rPr>
          <w:rFonts w:ascii="Calibri" w:cs="Calibri" w:eastAsia="Calibri" w:hAnsi="Calibri"/>
          <w:color w:val="333333"/>
          <w:sz w:val="22"/>
          <w:szCs w:val="22"/>
        </w:rPr>
        <w:t xml:space="preserve">Attend all required asbestos awareness or operations training</w:t>
      </w:r>
    </w:p>
    <w:p>
      <w:pPr>
        <w:pStyle w:val="ListParagraph"/>
        <w:numPr>
          <w:ilvl w:val="0"/>
          <w:numId w:val="2"/>
        </w:numPr>
        <w:spacing w:after="40" w:before="40"/>
      </w:pPr>
      <w:r>
        <w:rPr>
          <w:rFonts w:ascii="Calibri" w:cs="Calibri" w:eastAsia="Calibri" w:hAnsi="Calibri"/>
          <w:color w:val="333333"/>
          <w:sz w:val="22"/>
          <w:szCs w:val="22"/>
        </w:rPr>
        <w:t xml:space="preserve">Do not disturb suspected asbestos-containing materials</w:t>
      </w:r>
    </w:p>
    <w:p>
      <w:pPr>
        <w:pStyle w:val="ListParagraph"/>
        <w:numPr>
          <w:ilvl w:val="0"/>
          <w:numId w:val="2"/>
        </w:numPr>
        <w:spacing w:after="40" w:before="40"/>
      </w:pPr>
      <w:r>
        <w:rPr>
          <w:rFonts w:ascii="Calibri" w:cs="Calibri" w:eastAsia="Calibri" w:hAnsi="Calibri"/>
          <w:color w:val="333333"/>
          <w:sz w:val="22"/>
          <w:szCs w:val="22"/>
        </w:rPr>
        <w:t xml:space="preserve">Report any damaged or deteriorating materials that may contain asbestos</w:t>
      </w:r>
    </w:p>
    <w:p>
      <w:pPr>
        <w:pStyle w:val="ListParagraph"/>
        <w:numPr>
          <w:ilvl w:val="0"/>
          <w:numId w:val="2"/>
        </w:numPr>
        <w:spacing w:after="40" w:before="40"/>
      </w:pPr>
      <w:r>
        <w:rPr>
          <w:rFonts w:ascii="Calibri" w:cs="Calibri" w:eastAsia="Calibri" w:hAnsi="Calibri"/>
          <w:color w:val="333333"/>
          <w:sz w:val="22"/>
          <w:szCs w:val="22"/>
        </w:rPr>
        <w:t xml:space="preserve">Use all required PPE and follow decontamination procedures</w:t>
      </w:r>
    </w:p>
    <w:p>
      <w:pPr>
        <w:pStyle w:val="Heading2"/>
      </w:pPr>
      <w:r>
        <w:rPr>
          <w:rFonts w:ascii="Calibri" w:cs="Calibri" w:eastAsia="Calibri" w:hAnsi="Calibri"/>
          <w:b/>
          <w:bCs/>
          <w:color w:val="1B2A4A"/>
          <w:sz w:val="26"/>
          <w:szCs w:val="26"/>
        </w:rPr>
        <w:t xml:space="preserve">5.5 Safety Department</w:t>
      </w:r>
    </w:p>
    <w:p>
      <w:pPr>
        <w:pStyle w:val="ListParagraph"/>
        <w:numPr>
          <w:ilvl w:val="0"/>
          <w:numId w:val="2"/>
        </w:numPr>
        <w:spacing w:after="40" w:before="40"/>
      </w:pPr>
      <w:r>
        <w:rPr>
          <w:rFonts w:ascii="Calibri" w:cs="Calibri" w:eastAsia="Calibri" w:hAnsi="Calibri"/>
          <w:color w:val="333333"/>
          <w:sz w:val="22"/>
          <w:szCs w:val="22"/>
        </w:rPr>
        <w:t xml:space="preserve">Administer and coordinate asbestos program activities</w:t>
      </w:r>
    </w:p>
    <w:p>
      <w:pPr>
        <w:pStyle w:val="ListParagraph"/>
        <w:numPr>
          <w:ilvl w:val="0"/>
          <w:numId w:val="2"/>
        </w:numPr>
        <w:spacing w:after="40" w:before="40"/>
      </w:pPr>
      <w:r>
        <w:rPr>
          <w:rFonts w:ascii="Calibri" w:cs="Calibri" w:eastAsia="Calibri" w:hAnsi="Calibri"/>
          <w:color w:val="333333"/>
          <w:sz w:val="22"/>
          <w:szCs w:val="22"/>
        </w:rPr>
        <w:t xml:space="preserve">Arrange for exposure monitoring and building surveys</w:t>
      </w:r>
    </w:p>
    <w:p>
      <w:pPr>
        <w:pStyle w:val="ListParagraph"/>
        <w:numPr>
          <w:ilvl w:val="0"/>
          <w:numId w:val="2"/>
        </w:numPr>
        <w:spacing w:after="40" w:before="40"/>
      </w:pPr>
      <w:r>
        <w:rPr>
          <w:rFonts w:ascii="Calibri" w:cs="Calibri" w:eastAsia="Calibri" w:hAnsi="Calibri"/>
          <w:color w:val="333333"/>
          <w:sz w:val="22"/>
          <w:szCs w:val="22"/>
        </w:rPr>
        <w:t xml:space="preserve">Maintain training records, monitoring data, and medical surveillance files</w:t>
      </w:r>
    </w:p>
    <w:p>
      <w:r>
        <w:br w:type="page"/>
      </w:r>
    </w:p>
    <w:p>
      <w:pPr>
        <w:pStyle w:val="Heading1"/>
      </w:pPr>
      <w:r>
        <w:rPr>
          <w:rFonts w:ascii="Calibri" w:cs="Calibri" w:eastAsia="Calibri" w:hAnsi="Calibri"/>
          <w:b/>
          <w:bCs/>
          <w:color w:val="1B2A4A"/>
          <w:sz w:val="32"/>
          <w:szCs w:val="32"/>
        </w:rPr>
        <w:t xml:space="preserve">6. Exposure Monitoring</w:t>
      </w:r>
    </w:p>
    <w:p>
      <w:pPr>
        <w:pStyle w:val="Heading2"/>
      </w:pPr>
      <w:r>
        <w:rPr>
          <w:rFonts w:ascii="Calibri" w:cs="Calibri" w:eastAsia="Calibri" w:hAnsi="Calibri"/>
          <w:b/>
          <w:bCs/>
          <w:color w:val="1B2A4A"/>
          <w:sz w:val="26"/>
          <w:szCs w:val="26"/>
        </w:rPr>
        <w:t xml:space="preserve">6.1 Initial Monitoring</w:t>
      </w:r>
    </w:p>
    <w:p>
      <w:pPr>
        <w:spacing w:after="80" w:before="80"/>
        <w:jc w:val="left"/>
      </w:pPr>
      <w:r>
        <w:rPr>
          <w:rFonts w:ascii="Calibri" w:cs="Calibri" w:eastAsia="Calibri" w:hAnsi="Calibri"/>
          <w:b w:val="false"/>
          <w:bCs w:val="false"/>
          <w:i w:val="false"/>
          <w:iCs w:val="false"/>
          <w:color w:val="333333"/>
          <w:sz w:val="22"/>
          <w:szCs w:val="22"/>
        </w:rPr>
        <w:t xml:space="preserve">[COMPANY NAME] shall conduct initial exposure monitoring for all employees who may be exposed to airborne asbestos at or above the PEL. Monitoring shall be representative of the 8-hour TWA and 30-minute short-term exposure.</w:t>
      </w:r>
    </w:p>
    <w:p>
      <w:pPr>
        <w:pStyle w:val="Heading2"/>
      </w:pPr>
      <w:r>
        <w:rPr>
          <w:rFonts w:ascii="Calibri" w:cs="Calibri" w:eastAsia="Calibri" w:hAnsi="Calibri"/>
          <w:b/>
          <w:bCs/>
          <w:color w:val="1B2A4A"/>
          <w:sz w:val="26"/>
          <w:szCs w:val="26"/>
        </w:rPr>
        <w:t xml:space="preserve">6.2 Periodic Monitoring</w:t>
      </w:r>
    </w:p>
    <w:p>
      <w:pPr>
        <w:pStyle w:val="ListParagraph"/>
        <w:numPr>
          <w:ilvl w:val="0"/>
          <w:numId w:val="2"/>
        </w:numPr>
        <w:spacing w:after="40" w:before="40"/>
      </w:pPr>
      <w:r>
        <w:rPr>
          <w:rFonts w:ascii="Calibri" w:cs="Calibri" w:eastAsia="Calibri" w:hAnsi="Calibri"/>
          <w:color w:val="333333"/>
          <w:sz w:val="22"/>
          <w:szCs w:val="22"/>
        </w:rPr>
        <w:t xml:space="preserve">Required at least every 6 months for employees exposed at or above the PEL or excursion limit</w:t>
      </w:r>
    </w:p>
    <w:p>
      <w:pPr>
        <w:pStyle w:val="ListParagraph"/>
        <w:numPr>
          <w:ilvl w:val="0"/>
          <w:numId w:val="2"/>
        </w:numPr>
        <w:spacing w:after="40" w:before="40"/>
      </w:pPr>
      <w:r>
        <w:rPr>
          <w:rFonts w:ascii="Calibri" w:cs="Calibri" w:eastAsia="Calibri" w:hAnsi="Calibri"/>
          <w:color w:val="333333"/>
          <w:sz w:val="22"/>
          <w:szCs w:val="22"/>
        </w:rPr>
        <w:t xml:space="preserve">May be reduced to every 6 months if results are below action level (0.1 f/cc)</w:t>
      </w:r>
    </w:p>
    <w:p>
      <w:pPr>
        <w:pStyle w:val="ListParagraph"/>
        <w:numPr>
          <w:ilvl w:val="0"/>
          <w:numId w:val="2"/>
        </w:numPr>
        <w:spacing w:after="40" w:before="40"/>
      </w:pPr>
      <w:r>
        <w:rPr>
          <w:rFonts w:ascii="Calibri" w:cs="Calibri" w:eastAsia="Calibri" w:hAnsi="Calibri"/>
          <w:color w:val="333333"/>
          <w:sz w:val="22"/>
          <w:szCs w:val="22"/>
        </w:rPr>
        <w:t xml:space="preserve">Monitoring may be discontinued if two consecutive samples taken 7 days apart are below the action level</w:t>
      </w:r>
    </w:p>
    <w:p>
      <w:pPr>
        <w:pStyle w:val="Heading2"/>
      </w:pPr>
      <w:r>
        <w:rPr>
          <w:rFonts w:ascii="Calibri" w:cs="Calibri" w:eastAsia="Calibri" w:hAnsi="Calibri"/>
          <w:b/>
          <w:bCs/>
          <w:color w:val="1B2A4A"/>
          <w:sz w:val="26"/>
          <w:szCs w:val="26"/>
        </w:rPr>
        <w:t xml:space="preserve">6.3 Additional Monitoring</w:t>
      </w:r>
    </w:p>
    <w:p>
      <w:pPr>
        <w:spacing w:after="80" w:before="80"/>
        <w:jc w:val="left"/>
      </w:pPr>
      <w:r>
        <w:rPr>
          <w:rFonts w:ascii="Calibri" w:cs="Calibri" w:eastAsia="Calibri" w:hAnsi="Calibri"/>
          <w:b w:val="false"/>
          <w:bCs w:val="false"/>
          <w:i w:val="false"/>
          <w:iCs w:val="false"/>
          <w:color w:val="333333"/>
          <w:sz w:val="22"/>
          <w:szCs w:val="22"/>
        </w:rPr>
        <w:t xml:space="preserve">Additional monitoring shall be performed whenever changes in processes, controls, or personnel may result in new or increased exposures.</w:t>
      </w:r>
    </w:p>
    <w:p>
      <w:pPr>
        <w:pStyle w:val="Heading2"/>
      </w:pPr>
      <w:r>
        <w:rPr>
          <w:rFonts w:ascii="Calibri" w:cs="Calibri" w:eastAsia="Calibri" w:hAnsi="Calibri"/>
          <w:b/>
          <w:bCs/>
          <w:color w:val="1B2A4A"/>
          <w:sz w:val="26"/>
          <w:szCs w:val="26"/>
        </w:rPr>
        <w:t xml:space="preserve">6.4 Employee Notification</w:t>
      </w:r>
    </w:p>
    <w:p>
      <w:pPr>
        <w:spacing w:after="80" w:before="80"/>
        <w:jc w:val="left"/>
      </w:pPr>
      <w:r>
        <w:rPr>
          <w:rFonts w:ascii="Calibri" w:cs="Calibri" w:eastAsia="Calibri" w:hAnsi="Calibri"/>
          <w:b w:val="false"/>
          <w:bCs w:val="false"/>
          <w:i w:val="false"/>
          <w:iCs w:val="false"/>
          <w:color w:val="333333"/>
          <w:sz w:val="22"/>
          <w:szCs w:val="22"/>
        </w:rPr>
        <w:t xml:space="preserve">Employees shall be notified of monitoring results within 15 working days of receipt. Notification must be in writing and include the corrective action being taken if the PEL is exceeded.</w:t>
      </w:r>
    </w:p>
    <w:p>
      <w:pPr>
        <w:pStyle w:val="Heading1"/>
      </w:pPr>
      <w:r>
        <w:rPr>
          <w:rFonts w:ascii="Calibri" w:cs="Calibri" w:eastAsia="Calibri" w:hAnsi="Calibri"/>
          <w:b/>
          <w:bCs/>
          <w:color w:val="1B2A4A"/>
          <w:sz w:val="32"/>
          <w:szCs w:val="32"/>
        </w:rPr>
        <w:t xml:space="preserve">7. Regulated Areas</w:t>
      </w:r>
    </w:p>
    <w:p>
      <w:pPr>
        <w:spacing w:after="80" w:before="80"/>
        <w:jc w:val="left"/>
      </w:pPr>
      <w:r>
        <w:rPr>
          <w:rFonts w:ascii="Calibri" w:cs="Calibri" w:eastAsia="Calibri" w:hAnsi="Calibri"/>
          <w:b w:val="false"/>
          <w:bCs w:val="false"/>
          <w:i w:val="false"/>
          <w:iCs w:val="false"/>
          <w:color w:val="333333"/>
          <w:sz w:val="22"/>
          <w:szCs w:val="22"/>
        </w:rPr>
        <w:t xml:space="preserve">Regulated areas shall be established wherever airborne asbestos concentrations exceed or are expected to exceed the PEL. Requirements include:</w:t>
      </w:r>
    </w:p>
    <w:p>
      <w:pPr>
        <w:pStyle w:val="ListParagraph"/>
        <w:numPr>
          <w:ilvl w:val="0"/>
          <w:numId w:val="2"/>
        </w:numPr>
        <w:spacing w:after="40" w:before="40"/>
      </w:pPr>
      <w:r>
        <w:rPr>
          <w:rFonts w:ascii="Calibri" w:cs="Calibri" w:eastAsia="Calibri" w:hAnsi="Calibri"/>
          <w:color w:val="333333"/>
          <w:sz w:val="22"/>
          <w:szCs w:val="22"/>
        </w:rPr>
        <w:t xml:space="preserve">Demarcation with warning signs and barrier tape</w:t>
      </w:r>
    </w:p>
    <w:p>
      <w:pPr>
        <w:pStyle w:val="ListParagraph"/>
        <w:numPr>
          <w:ilvl w:val="0"/>
          <w:numId w:val="2"/>
        </w:numPr>
        <w:spacing w:after="40" w:before="40"/>
      </w:pPr>
      <w:r>
        <w:rPr>
          <w:rFonts w:ascii="Calibri" w:cs="Calibri" w:eastAsia="Calibri" w:hAnsi="Calibri"/>
          <w:color w:val="333333"/>
          <w:sz w:val="22"/>
          <w:szCs w:val="22"/>
        </w:rPr>
        <w:t xml:space="preserve">Access limited to authorized, trained, and properly equipped personnel</w:t>
      </w:r>
    </w:p>
    <w:p>
      <w:pPr>
        <w:pStyle w:val="ListParagraph"/>
        <w:numPr>
          <w:ilvl w:val="0"/>
          <w:numId w:val="2"/>
        </w:numPr>
        <w:spacing w:after="40" w:before="40"/>
      </w:pPr>
      <w:r>
        <w:rPr>
          <w:rFonts w:ascii="Calibri" w:cs="Calibri" w:eastAsia="Calibri" w:hAnsi="Calibri"/>
          <w:color w:val="333333"/>
          <w:sz w:val="22"/>
          <w:szCs w:val="22"/>
        </w:rPr>
        <w:t xml:space="preserve">Warning signs displaying: "DANGER — ASBESTOS — CANCER AND LUNG DISEASE HAZARD — AUTHORIZED PERSONNEL ONLY"</w:t>
      </w:r>
    </w:p>
    <w:p>
      <w:pPr>
        <w:pStyle w:val="ListParagraph"/>
        <w:numPr>
          <w:ilvl w:val="0"/>
          <w:numId w:val="2"/>
        </w:numPr>
        <w:spacing w:after="40" w:before="40"/>
      </w:pPr>
      <w:r>
        <w:rPr>
          <w:rFonts w:ascii="Calibri" w:cs="Calibri" w:eastAsia="Calibri" w:hAnsi="Calibri"/>
          <w:color w:val="333333"/>
          <w:sz w:val="22"/>
          <w:szCs w:val="22"/>
        </w:rPr>
        <w:t xml:space="preserve">No eating, drinking, smoking, or applying cosmetics in regulated areas</w:t>
      </w:r>
    </w:p>
    <w:p>
      <w:pPr>
        <w:pStyle w:val="Heading1"/>
      </w:pPr>
      <w:r>
        <w:rPr>
          <w:rFonts w:ascii="Calibri" w:cs="Calibri" w:eastAsia="Calibri" w:hAnsi="Calibri"/>
          <w:b/>
          <w:bCs/>
          <w:color w:val="1B2A4A"/>
          <w:sz w:val="32"/>
          <w:szCs w:val="32"/>
        </w:rPr>
        <w:t xml:space="preserve">8. Engineering &amp; Work Practice Controls</w:t>
      </w:r>
    </w:p>
    <w:p>
      <w:pPr>
        <w:pStyle w:val="Heading2"/>
      </w:pPr>
      <w:r>
        <w:rPr>
          <w:rFonts w:ascii="Calibri" w:cs="Calibri" w:eastAsia="Calibri" w:hAnsi="Calibri"/>
          <w:b/>
          <w:bCs/>
          <w:color w:val="1B2A4A"/>
          <w:sz w:val="26"/>
          <w:szCs w:val="26"/>
        </w:rPr>
        <w:t xml:space="preserve">8.1 Engineering Controls</w:t>
      </w:r>
    </w:p>
    <w:p>
      <w:pPr>
        <w:pStyle w:val="ListParagraph"/>
        <w:numPr>
          <w:ilvl w:val="0"/>
          <w:numId w:val="2"/>
        </w:numPr>
        <w:spacing w:after="40" w:before="40"/>
      </w:pPr>
      <w:r>
        <w:rPr>
          <w:rFonts w:ascii="Calibri" w:cs="Calibri" w:eastAsia="Calibri" w:hAnsi="Calibri"/>
          <w:color w:val="333333"/>
          <w:sz w:val="22"/>
          <w:szCs w:val="22"/>
        </w:rPr>
        <w:t xml:space="preserve">Wet methods — keep ACM adequately wet to suppress fiber release</w:t>
      </w:r>
    </w:p>
    <w:p>
      <w:pPr>
        <w:pStyle w:val="ListParagraph"/>
        <w:numPr>
          <w:ilvl w:val="0"/>
          <w:numId w:val="2"/>
        </w:numPr>
        <w:spacing w:after="40" w:before="40"/>
      </w:pPr>
      <w:r>
        <w:rPr>
          <w:rFonts w:ascii="Calibri" w:cs="Calibri" w:eastAsia="Calibri" w:hAnsi="Calibri"/>
          <w:color w:val="333333"/>
          <w:sz w:val="22"/>
          <w:szCs w:val="22"/>
        </w:rPr>
        <w:t xml:space="preserve">Local exhaust ventilation with HEPA filtration</w:t>
      </w:r>
    </w:p>
    <w:p>
      <w:pPr>
        <w:pStyle w:val="ListParagraph"/>
        <w:numPr>
          <w:ilvl w:val="0"/>
          <w:numId w:val="2"/>
        </w:numPr>
        <w:spacing w:after="40" w:before="40"/>
      </w:pPr>
      <w:r>
        <w:rPr>
          <w:rFonts w:ascii="Calibri" w:cs="Calibri" w:eastAsia="Calibri" w:hAnsi="Calibri"/>
          <w:color w:val="333333"/>
          <w:sz w:val="22"/>
          <w:szCs w:val="22"/>
        </w:rPr>
        <w:t xml:space="preserve">Isolation and enclosure of work areas (negative pressure enclosures for Class I)</w:t>
      </w:r>
    </w:p>
    <w:p>
      <w:pPr>
        <w:pStyle w:val="ListParagraph"/>
        <w:numPr>
          <w:ilvl w:val="0"/>
          <w:numId w:val="2"/>
        </w:numPr>
        <w:spacing w:after="40" w:before="40"/>
      </w:pPr>
      <w:r>
        <w:rPr>
          <w:rFonts w:ascii="Calibri" w:cs="Calibri" w:eastAsia="Calibri" w:hAnsi="Calibri"/>
          <w:color w:val="333333"/>
          <w:sz w:val="22"/>
          <w:szCs w:val="22"/>
        </w:rPr>
        <w:t xml:space="preserve">Glove bags for small-scale pipe insulation removal</w:t>
      </w:r>
    </w:p>
    <w:p>
      <w:pPr>
        <w:pStyle w:val="ListParagraph"/>
        <w:numPr>
          <w:ilvl w:val="0"/>
          <w:numId w:val="2"/>
        </w:numPr>
        <w:spacing w:after="40" w:before="40"/>
      </w:pPr>
      <w:r>
        <w:rPr>
          <w:rFonts w:ascii="Calibri" w:cs="Calibri" w:eastAsia="Calibri" w:hAnsi="Calibri"/>
          <w:color w:val="333333"/>
          <w:sz w:val="22"/>
          <w:szCs w:val="22"/>
        </w:rPr>
        <w:t xml:space="preserve">HEPA-filtered vacuum equipment for cleanup</w:t>
      </w:r>
    </w:p>
    <w:p>
      <w:pPr>
        <w:pStyle w:val="Heading2"/>
      </w:pPr>
      <w:r>
        <w:rPr>
          <w:rFonts w:ascii="Calibri" w:cs="Calibri" w:eastAsia="Calibri" w:hAnsi="Calibri"/>
          <w:b/>
          <w:bCs/>
          <w:color w:val="1B2A4A"/>
          <w:sz w:val="26"/>
          <w:szCs w:val="26"/>
        </w:rPr>
        <w:t xml:space="preserve">8.2 Prohibited Practices</w:t>
      </w:r>
    </w:p>
    <w:p>
      <w:pPr>
        <w:pStyle w:val="ListParagraph"/>
        <w:numPr>
          <w:ilvl w:val="0"/>
          <w:numId w:val="2"/>
        </w:numPr>
        <w:spacing w:after="40" w:before="40"/>
      </w:pPr>
      <w:r>
        <w:rPr>
          <w:rFonts w:ascii="Calibri" w:cs="Calibri" w:eastAsia="Calibri" w:hAnsi="Calibri"/>
          <w:color w:val="333333"/>
          <w:sz w:val="22"/>
          <w:szCs w:val="22"/>
        </w:rPr>
        <w:t xml:space="preserve">High-speed abrasive disc saws without HEPA exhaust</w:t>
      </w:r>
    </w:p>
    <w:p>
      <w:pPr>
        <w:pStyle w:val="ListParagraph"/>
        <w:numPr>
          <w:ilvl w:val="0"/>
          <w:numId w:val="2"/>
        </w:numPr>
        <w:spacing w:after="40" w:before="40"/>
      </w:pPr>
      <w:r>
        <w:rPr>
          <w:rFonts w:ascii="Calibri" w:cs="Calibri" w:eastAsia="Calibri" w:hAnsi="Calibri"/>
          <w:color w:val="333333"/>
          <w:sz w:val="22"/>
          <w:szCs w:val="22"/>
        </w:rPr>
        <w:t xml:space="preserve">Dry sweeping or shoveling of asbestos debris</w:t>
      </w:r>
    </w:p>
    <w:p>
      <w:pPr>
        <w:pStyle w:val="ListParagraph"/>
        <w:numPr>
          <w:ilvl w:val="0"/>
          <w:numId w:val="2"/>
        </w:numPr>
        <w:spacing w:after="40" w:before="40"/>
      </w:pPr>
      <w:r>
        <w:rPr>
          <w:rFonts w:ascii="Calibri" w:cs="Calibri" w:eastAsia="Calibri" w:hAnsi="Calibri"/>
          <w:color w:val="333333"/>
          <w:sz w:val="22"/>
          <w:szCs w:val="22"/>
        </w:rPr>
        <w:t xml:space="preserve">Compressed air to remove asbestos from surfaces</w:t>
      </w:r>
    </w:p>
    <w:p>
      <w:pPr>
        <w:pStyle w:val="ListParagraph"/>
        <w:numPr>
          <w:ilvl w:val="0"/>
          <w:numId w:val="2"/>
        </w:numPr>
        <w:spacing w:after="40" w:before="40"/>
      </w:pPr>
      <w:r>
        <w:rPr>
          <w:rFonts w:ascii="Calibri" w:cs="Calibri" w:eastAsia="Calibri" w:hAnsi="Calibri"/>
          <w:color w:val="333333"/>
          <w:sz w:val="22"/>
          <w:szCs w:val="22"/>
        </w:rPr>
        <w:t xml:space="preserve">Employee rotation as a means to reduce exposure</w:t>
      </w:r>
    </w:p>
    <w:p>
      <w:r>
        <w:br w:type="page"/>
      </w:r>
    </w:p>
    <w:p>
      <w:pPr>
        <w:pStyle w:val="Heading1"/>
      </w:pPr>
      <w:r>
        <w:rPr>
          <w:rFonts w:ascii="Calibri" w:cs="Calibri" w:eastAsia="Calibri" w:hAnsi="Calibri"/>
          <w:b/>
          <w:bCs/>
          <w:color w:val="1B2A4A"/>
          <w:sz w:val="32"/>
          <w:szCs w:val="32"/>
        </w:rPr>
        <w:t xml:space="preserve">9. Respiratory Protection</w:t>
      </w:r>
    </w:p>
    <w:p>
      <w:pPr>
        <w:spacing w:after="80" w:before="80"/>
        <w:jc w:val="left"/>
      </w:pPr>
      <w:r>
        <w:rPr>
          <w:rFonts w:ascii="Calibri" w:cs="Calibri" w:eastAsia="Calibri" w:hAnsi="Calibri"/>
          <w:b w:val="false"/>
          <w:bCs w:val="false"/>
          <w:i w:val="false"/>
          <w:iCs w:val="false"/>
          <w:color w:val="333333"/>
          <w:sz w:val="22"/>
          <w:szCs w:val="22"/>
        </w:rPr>
        <w:t xml:space="preserve">When engineering controls alone cannot reduce exposure below the PEL, respiratory protection shall be provided in accordance with 29 CFR 1910.134 and the [COMPANY NAME] Respiratory Protection Program.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Exposure Level</w:t>
            </w:r>
          </w:p>
        </w:tc>
        <w:tc>
          <w:tcPr>
            <w:tcW w:type="dxa" w:w="624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Minimum Respirator</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Up to 1.0 f/cc</w:t>
            </w:r>
          </w:p>
        </w:tc>
        <w:tc>
          <w:tcPr>
            <w:tcW w:type="dxa" w:w="624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Half-face APR with P100 filters</w:t>
            </w:r>
          </w:p>
        </w:tc>
      </w:tr>
      <w:tr>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Up to 10 f/cc</w:t>
            </w:r>
          </w:p>
        </w:tc>
        <w:tc>
          <w:tcPr>
            <w:tcW w:type="dxa" w:w="624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Full-face APR with P100 filters</w:t>
            </w:r>
          </w:p>
        </w:tc>
      </w:tr>
      <w:tr>
        <w:tc>
          <w:tcPr>
            <w:tcW w:type="dxa" w:w="312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Above 10 f/cc or unknown</w:t>
            </w:r>
          </w:p>
        </w:tc>
        <w:tc>
          <w:tcPr>
            <w:tcW w:type="dxa" w:w="624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PAPR with HEPA filters or supplied air respirator</w:t>
            </w:r>
          </w:p>
        </w:tc>
      </w:tr>
      <w:tr>
        <w:tc>
          <w:tcPr>
            <w:tcW w:type="dxa" w:w="312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IDLH or emergency</w:t>
            </w:r>
          </w:p>
        </w:tc>
        <w:tc>
          <w:tcPr>
            <w:tcW w:type="dxa" w:w="624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Full-face pressure-demand SCBA or combination SCBA/SAR</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val="false"/>
          <w:bCs w:val="false"/>
          <w:i w:val="false"/>
          <w:iCs w:val="false"/>
          <w:color w:val="333333"/>
          <w:sz w:val="22"/>
          <w:szCs w:val="22"/>
        </w:rPr>
        <w:t xml:space="preserve">All respirator users must be medically evaluated, fit tested annually, and trained in proper use, maintenance, and storage.</w:t>
      </w:r>
    </w:p>
    <w:p>
      <w:pPr>
        <w:pStyle w:val="Heading1"/>
      </w:pPr>
      <w:r>
        <w:rPr>
          <w:rFonts w:ascii="Calibri" w:cs="Calibri" w:eastAsia="Calibri" w:hAnsi="Calibri"/>
          <w:b/>
          <w:bCs/>
          <w:color w:val="1B2A4A"/>
          <w:sz w:val="32"/>
          <w:szCs w:val="32"/>
        </w:rPr>
        <w:t xml:space="preserve">10. Medical Surveillance</w:t>
      </w:r>
    </w:p>
    <w:p>
      <w:pPr>
        <w:spacing w:after="80" w:before="80"/>
        <w:jc w:val="left"/>
      </w:pPr>
      <w:r>
        <w:rPr>
          <w:rFonts w:ascii="Calibri" w:cs="Calibri" w:eastAsia="Calibri" w:hAnsi="Calibri"/>
          <w:b w:val="false"/>
          <w:bCs w:val="false"/>
          <w:i w:val="false"/>
          <w:iCs w:val="false"/>
          <w:color w:val="333333"/>
          <w:sz w:val="22"/>
          <w:szCs w:val="22"/>
        </w:rPr>
        <w:t xml:space="preserve">Medical surveillance shall be provided at no cost to employees who are or will be exposed to airborne asbestos at or above the PEL or excursion limit for 30 or more days per year. The program includes:</w:t>
      </w:r>
    </w:p>
    <w:p>
      <w:pPr>
        <w:pStyle w:val="ListParagraph"/>
        <w:numPr>
          <w:ilvl w:val="0"/>
          <w:numId w:val="2"/>
        </w:numPr>
        <w:spacing w:after="40" w:before="40"/>
      </w:pPr>
      <w:r>
        <w:rPr>
          <w:rFonts w:ascii="Calibri" w:cs="Calibri" w:eastAsia="Calibri" w:hAnsi="Calibri"/>
          <w:color w:val="333333"/>
          <w:sz w:val="22"/>
          <w:szCs w:val="22"/>
        </w:rPr>
        <w:t xml:space="preserve">Pre-placement examination (medical/work history, chest X-ray, pulmonary function test)</w:t>
      </w:r>
    </w:p>
    <w:p>
      <w:pPr>
        <w:pStyle w:val="ListParagraph"/>
        <w:numPr>
          <w:ilvl w:val="0"/>
          <w:numId w:val="2"/>
        </w:numPr>
        <w:spacing w:after="40" w:before="40"/>
      </w:pPr>
      <w:r>
        <w:rPr>
          <w:rFonts w:ascii="Calibri" w:cs="Calibri" w:eastAsia="Calibri" w:hAnsi="Calibri"/>
          <w:color w:val="333333"/>
          <w:sz w:val="22"/>
          <w:szCs w:val="22"/>
        </w:rPr>
        <w:t xml:space="preserve">Annual examination (updated history, chest X-ray as recommended, pulmonary function test)</w:t>
      </w:r>
    </w:p>
    <w:p>
      <w:pPr>
        <w:pStyle w:val="ListParagraph"/>
        <w:numPr>
          <w:ilvl w:val="0"/>
          <w:numId w:val="2"/>
        </w:numPr>
        <w:spacing w:after="40" w:before="40"/>
      </w:pPr>
      <w:r>
        <w:rPr>
          <w:rFonts w:ascii="Calibri" w:cs="Calibri" w:eastAsia="Calibri" w:hAnsi="Calibri"/>
          <w:color w:val="333333"/>
          <w:sz w:val="22"/>
          <w:szCs w:val="22"/>
        </w:rPr>
        <w:t xml:space="preserve">Termination examination (within 30 days of last day of employment if not examined within the previous year)</w:t>
      </w:r>
    </w:p>
    <w:p>
      <w:pPr>
        <w:pStyle w:val="ListParagraph"/>
        <w:numPr>
          <w:ilvl w:val="0"/>
          <w:numId w:val="2"/>
        </w:numPr>
        <w:spacing w:after="40" w:before="40"/>
      </w:pPr>
      <w:r>
        <w:rPr>
          <w:rFonts w:ascii="Calibri" w:cs="Calibri" w:eastAsia="Calibri" w:hAnsi="Calibri"/>
          <w:color w:val="333333"/>
          <w:sz w:val="22"/>
          <w:szCs w:val="22"/>
        </w:rPr>
        <w:t xml:space="preserve">Physician's written opinion provided to employer and employee</w:t>
      </w:r>
    </w:p>
    <w:p>
      <w:pPr>
        <w:pStyle w:val="Heading1"/>
      </w:pPr>
      <w:r>
        <w:rPr>
          <w:rFonts w:ascii="Calibri" w:cs="Calibri" w:eastAsia="Calibri" w:hAnsi="Calibri"/>
          <w:b/>
          <w:bCs/>
          <w:color w:val="1B2A4A"/>
          <w:sz w:val="32"/>
          <w:szCs w:val="32"/>
        </w:rPr>
        <w:t xml:space="preserve">11. Decontamination Procedures</w:t>
      </w:r>
    </w:p>
    <w:p>
      <w:pPr>
        <w:pStyle w:val="Heading2"/>
      </w:pPr>
      <w:r>
        <w:rPr>
          <w:rFonts w:ascii="Calibri" w:cs="Calibri" w:eastAsia="Calibri" w:hAnsi="Calibri"/>
          <w:b/>
          <w:bCs/>
          <w:color w:val="1B2A4A"/>
          <w:sz w:val="26"/>
          <w:szCs w:val="26"/>
        </w:rPr>
        <w:t xml:space="preserve">11.1 Personnel Decontamination</w:t>
      </w:r>
    </w:p>
    <w:p>
      <w:pPr>
        <w:spacing w:after="80" w:before="80"/>
        <w:jc w:val="left"/>
      </w:pPr>
      <w:r>
        <w:rPr>
          <w:rFonts w:ascii="Calibri" w:cs="Calibri" w:eastAsia="Calibri" w:hAnsi="Calibri"/>
          <w:b w:val="false"/>
          <w:bCs w:val="false"/>
          <w:i w:val="false"/>
          <w:iCs w:val="false"/>
          <w:color w:val="333333"/>
          <w:sz w:val="22"/>
          <w:szCs w:val="22"/>
        </w:rPr>
        <w:t xml:space="preserve">For Class I and II work, a decontamination unit shall be established adjacent to the regulated area with:</w:t>
      </w:r>
    </w:p>
    <w:p>
      <w:pPr>
        <w:pStyle w:val="ListParagraph"/>
        <w:numPr>
          <w:ilvl w:val="0"/>
          <w:numId w:val="2"/>
        </w:numPr>
        <w:spacing w:after="40" w:before="40"/>
      </w:pPr>
      <w:r>
        <w:rPr>
          <w:rFonts w:ascii="Calibri" w:cs="Calibri" w:eastAsia="Calibri" w:hAnsi="Calibri"/>
          <w:color w:val="333333"/>
          <w:sz w:val="22"/>
          <w:szCs w:val="22"/>
        </w:rPr>
        <w:t xml:space="preserve">Clean room (for donning clean clothing and PPE)</w:t>
      </w:r>
    </w:p>
    <w:p>
      <w:pPr>
        <w:pStyle w:val="ListParagraph"/>
        <w:numPr>
          <w:ilvl w:val="0"/>
          <w:numId w:val="2"/>
        </w:numPr>
        <w:spacing w:after="40" w:before="40"/>
      </w:pPr>
      <w:r>
        <w:rPr>
          <w:rFonts w:ascii="Calibri" w:cs="Calibri" w:eastAsia="Calibri" w:hAnsi="Calibri"/>
          <w:color w:val="333333"/>
          <w:sz w:val="22"/>
          <w:szCs w:val="22"/>
        </w:rPr>
        <w:t xml:space="preserve">Shower room (with water to remove fibers from skin)</w:t>
      </w:r>
    </w:p>
    <w:p>
      <w:pPr>
        <w:pStyle w:val="ListParagraph"/>
        <w:numPr>
          <w:ilvl w:val="0"/>
          <w:numId w:val="2"/>
        </w:numPr>
        <w:spacing w:after="40" w:before="40"/>
      </w:pPr>
      <w:r>
        <w:rPr>
          <w:rFonts w:ascii="Calibri" w:cs="Calibri" w:eastAsia="Calibri" w:hAnsi="Calibri"/>
          <w:color w:val="333333"/>
          <w:sz w:val="22"/>
          <w:szCs w:val="22"/>
        </w:rPr>
        <w:t xml:space="preserve">Equipment room (for removal of contaminated PPE)</w:t>
      </w:r>
    </w:p>
    <w:p>
      <w:pPr>
        <w:spacing w:after="80" w:before="80"/>
        <w:jc w:val="left"/>
      </w:pPr>
      <w:r>
        <w:rPr>
          <w:rFonts w:ascii="Calibri" w:cs="Calibri" w:eastAsia="Calibri" w:hAnsi="Calibri"/>
          <w:b w:val="false"/>
          <w:bCs w:val="false"/>
          <w:i w:val="false"/>
          <w:iCs w:val="false"/>
          <w:color w:val="333333"/>
          <w:sz w:val="22"/>
          <w:szCs w:val="22"/>
        </w:rPr>
        <w:t xml:space="preserve">Workers shall shower before leaving the regulated area. Disposable clothing shall be bagged wet for disposal.</w:t>
      </w:r>
    </w:p>
    <w:p>
      <w:pPr>
        <w:pStyle w:val="Heading2"/>
      </w:pPr>
      <w:r>
        <w:rPr>
          <w:rFonts w:ascii="Calibri" w:cs="Calibri" w:eastAsia="Calibri" w:hAnsi="Calibri"/>
          <w:b/>
          <w:bCs/>
          <w:color w:val="1B2A4A"/>
          <w:sz w:val="26"/>
          <w:szCs w:val="26"/>
        </w:rPr>
        <w:t xml:space="preserve">11.2 Equipment Decontamination</w:t>
      </w:r>
    </w:p>
    <w:p>
      <w:pPr>
        <w:pStyle w:val="ListParagraph"/>
        <w:numPr>
          <w:ilvl w:val="0"/>
          <w:numId w:val="2"/>
        </w:numPr>
        <w:spacing w:after="40" w:before="40"/>
      </w:pPr>
      <w:r>
        <w:rPr>
          <w:rFonts w:ascii="Calibri" w:cs="Calibri" w:eastAsia="Calibri" w:hAnsi="Calibri"/>
          <w:color w:val="333333"/>
          <w:sz w:val="22"/>
          <w:szCs w:val="22"/>
        </w:rPr>
        <w:t xml:space="preserve">All tools and equipment shall be HEPA-vacuumed or wet-wiped before removal from regulated area</w:t>
      </w:r>
    </w:p>
    <w:p>
      <w:pPr>
        <w:pStyle w:val="ListParagraph"/>
        <w:numPr>
          <w:ilvl w:val="0"/>
          <w:numId w:val="2"/>
        </w:numPr>
        <w:spacing w:after="40" w:before="40"/>
      </w:pPr>
      <w:r>
        <w:rPr>
          <w:rFonts w:ascii="Calibri" w:cs="Calibri" w:eastAsia="Calibri" w:hAnsi="Calibri"/>
          <w:color w:val="333333"/>
          <w:sz w:val="22"/>
          <w:szCs w:val="22"/>
        </w:rPr>
        <w:t xml:space="preserve">Reusable PPE shall be decontaminated after each use</w:t>
      </w:r>
    </w:p>
    <w:p>
      <w:pPr>
        <w:pStyle w:val="Heading1"/>
      </w:pPr>
      <w:r>
        <w:rPr>
          <w:rFonts w:ascii="Calibri" w:cs="Calibri" w:eastAsia="Calibri" w:hAnsi="Calibri"/>
          <w:b/>
          <w:bCs/>
          <w:color w:val="1B2A4A"/>
          <w:sz w:val="32"/>
          <w:szCs w:val="32"/>
        </w:rPr>
        <w:t xml:space="preserve">12. Disposal Requirements</w:t>
      </w:r>
    </w:p>
    <w:p>
      <w:pPr>
        <w:spacing w:after="80" w:before="80"/>
        <w:jc w:val="left"/>
      </w:pPr>
      <w:r>
        <w:rPr>
          <w:rFonts w:ascii="Calibri" w:cs="Calibri" w:eastAsia="Calibri" w:hAnsi="Calibri"/>
          <w:b w:val="false"/>
          <w:bCs w:val="false"/>
          <w:i w:val="false"/>
          <w:iCs w:val="false"/>
          <w:color w:val="333333"/>
          <w:sz w:val="22"/>
          <w:szCs w:val="22"/>
        </w:rPr>
        <w:t xml:space="preserve">All asbestos waste shall be handled as regulated waste:</w:t>
      </w:r>
    </w:p>
    <w:p>
      <w:pPr>
        <w:pStyle w:val="ListParagraph"/>
        <w:numPr>
          <w:ilvl w:val="0"/>
          <w:numId w:val="2"/>
        </w:numPr>
        <w:spacing w:after="40" w:before="40"/>
      </w:pPr>
      <w:r>
        <w:rPr>
          <w:rFonts w:ascii="Calibri" w:cs="Calibri" w:eastAsia="Calibri" w:hAnsi="Calibri"/>
          <w:color w:val="333333"/>
          <w:sz w:val="22"/>
          <w:szCs w:val="22"/>
        </w:rPr>
        <w:t xml:space="preserve">Double-bagged in 6-mil polyethylene bags or sealed in leak-tight containers</w:t>
      </w:r>
    </w:p>
    <w:p>
      <w:pPr>
        <w:pStyle w:val="ListParagraph"/>
        <w:numPr>
          <w:ilvl w:val="0"/>
          <w:numId w:val="2"/>
        </w:numPr>
        <w:spacing w:after="40" w:before="40"/>
      </w:pPr>
      <w:r>
        <w:rPr>
          <w:rFonts w:ascii="Calibri" w:cs="Calibri" w:eastAsia="Calibri" w:hAnsi="Calibri"/>
          <w:color w:val="333333"/>
          <w:sz w:val="22"/>
          <w:szCs w:val="22"/>
        </w:rPr>
        <w:t xml:space="preserve">Labeled with asbestos warning labels per OSHA and DOT requirements</w:t>
      </w:r>
    </w:p>
    <w:p>
      <w:pPr>
        <w:pStyle w:val="ListParagraph"/>
        <w:numPr>
          <w:ilvl w:val="0"/>
          <w:numId w:val="2"/>
        </w:numPr>
        <w:spacing w:after="40" w:before="40"/>
      </w:pPr>
      <w:r>
        <w:rPr>
          <w:rFonts w:ascii="Calibri" w:cs="Calibri" w:eastAsia="Calibri" w:hAnsi="Calibri"/>
          <w:color w:val="333333"/>
          <w:sz w:val="22"/>
          <w:szCs w:val="22"/>
        </w:rPr>
        <w:t xml:space="preserve">Transported by licensed asbestos waste hauler</w:t>
      </w:r>
    </w:p>
    <w:p>
      <w:pPr>
        <w:pStyle w:val="ListParagraph"/>
        <w:numPr>
          <w:ilvl w:val="0"/>
          <w:numId w:val="2"/>
        </w:numPr>
        <w:spacing w:after="40" w:before="40"/>
      </w:pPr>
      <w:r>
        <w:rPr>
          <w:rFonts w:ascii="Calibri" w:cs="Calibri" w:eastAsia="Calibri" w:hAnsi="Calibri"/>
          <w:color w:val="333333"/>
          <w:sz w:val="22"/>
          <w:szCs w:val="22"/>
        </w:rPr>
        <w:t xml:space="preserve">Disposed of at permitted landfill in accordance with EPA 40 CFR 61 Subpart M</w:t>
      </w:r>
    </w:p>
    <w:p>
      <w:pPr>
        <w:pStyle w:val="ListParagraph"/>
        <w:numPr>
          <w:ilvl w:val="0"/>
          <w:numId w:val="2"/>
        </w:numPr>
        <w:spacing w:after="40" w:before="40"/>
      </w:pPr>
      <w:r>
        <w:rPr>
          <w:rFonts w:ascii="Calibri" w:cs="Calibri" w:eastAsia="Calibri" w:hAnsi="Calibri"/>
          <w:color w:val="333333"/>
          <w:sz w:val="22"/>
          <w:szCs w:val="22"/>
        </w:rPr>
        <w:t xml:space="preserve">Waste manifests retained for minimum of 30 years</w:t>
      </w:r>
    </w:p>
    <w:p>
      <w:r>
        <w:br w:type="page"/>
      </w:r>
    </w:p>
    <w:p>
      <w:pPr>
        <w:pStyle w:val="Heading1"/>
      </w:pPr>
      <w:r>
        <w:rPr>
          <w:rFonts w:ascii="Calibri" w:cs="Calibri" w:eastAsia="Calibri" w:hAnsi="Calibri"/>
          <w:b/>
          <w:bCs/>
          <w:color w:val="1B2A4A"/>
          <w:sz w:val="32"/>
          <w:szCs w:val="32"/>
        </w:rPr>
        <w:t xml:space="preserve">13. Training Requirements</w:t>
      </w:r>
    </w:p>
    <w:p>
      <w:pPr>
        <w:pStyle w:val="Heading2"/>
      </w:pPr>
      <w:r>
        <w:rPr>
          <w:rFonts w:ascii="Calibri" w:cs="Calibri" w:eastAsia="Calibri" w:hAnsi="Calibri"/>
          <w:b/>
          <w:bCs/>
          <w:color w:val="1B2A4A"/>
          <w:sz w:val="26"/>
          <w:szCs w:val="26"/>
        </w:rPr>
        <w:t xml:space="preserve">13.1 Asbestos Awareness Training (All Employees)</w:t>
      </w:r>
    </w:p>
    <w:p>
      <w:pPr>
        <w:spacing w:after="80" w:before="80"/>
        <w:jc w:val="left"/>
      </w:pPr>
      <w:r>
        <w:rPr>
          <w:rFonts w:ascii="Calibri" w:cs="Calibri" w:eastAsia="Calibri" w:hAnsi="Calibri"/>
          <w:b w:val="false"/>
          <w:bCs w:val="false"/>
          <w:i w:val="false"/>
          <w:iCs w:val="false"/>
          <w:color w:val="333333"/>
          <w:sz w:val="22"/>
          <w:szCs w:val="22"/>
        </w:rPr>
        <w:t xml:space="preserve">Employees who may work in areas where ACM is present but will not disturb it shall receive awareness training covering:</w:t>
      </w:r>
    </w:p>
    <w:p>
      <w:pPr>
        <w:pStyle w:val="ListParagraph"/>
        <w:numPr>
          <w:ilvl w:val="0"/>
          <w:numId w:val="2"/>
        </w:numPr>
        <w:spacing w:after="40" w:before="40"/>
      </w:pPr>
      <w:r>
        <w:rPr>
          <w:rFonts w:ascii="Calibri" w:cs="Calibri" w:eastAsia="Calibri" w:hAnsi="Calibri"/>
          <w:color w:val="333333"/>
          <w:sz w:val="22"/>
          <w:szCs w:val="22"/>
        </w:rPr>
        <w:t xml:space="preserve">Health effects of asbestos exposure</w:t>
      </w:r>
    </w:p>
    <w:p>
      <w:pPr>
        <w:pStyle w:val="ListParagraph"/>
        <w:numPr>
          <w:ilvl w:val="0"/>
          <w:numId w:val="2"/>
        </w:numPr>
        <w:spacing w:after="40" w:before="40"/>
      </w:pPr>
      <w:r>
        <w:rPr>
          <w:rFonts w:ascii="Calibri" w:cs="Calibri" w:eastAsia="Calibri" w:hAnsi="Calibri"/>
          <w:color w:val="333333"/>
          <w:sz w:val="22"/>
          <w:szCs w:val="22"/>
        </w:rPr>
        <w:t xml:space="preserve">Locations of ACM in the workplace</w:t>
      </w:r>
    </w:p>
    <w:p>
      <w:pPr>
        <w:pStyle w:val="ListParagraph"/>
        <w:numPr>
          <w:ilvl w:val="0"/>
          <w:numId w:val="2"/>
        </w:numPr>
        <w:spacing w:after="40" w:before="40"/>
      </w:pPr>
      <w:r>
        <w:rPr>
          <w:rFonts w:ascii="Calibri" w:cs="Calibri" w:eastAsia="Calibri" w:hAnsi="Calibri"/>
          <w:color w:val="333333"/>
          <w:sz w:val="22"/>
          <w:szCs w:val="22"/>
        </w:rPr>
        <w:t xml:space="preserve">Recognition of damage or deterioration</w:t>
      </w:r>
    </w:p>
    <w:p>
      <w:pPr>
        <w:pStyle w:val="ListParagraph"/>
        <w:numPr>
          <w:ilvl w:val="0"/>
          <w:numId w:val="2"/>
        </w:numPr>
        <w:spacing w:after="40" w:before="40"/>
      </w:pPr>
      <w:r>
        <w:rPr>
          <w:rFonts w:ascii="Calibri" w:cs="Calibri" w:eastAsia="Calibri" w:hAnsi="Calibri"/>
          <w:color w:val="333333"/>
          <w:sz w:val="22"/>
          <w:szCs w:val="22"/>
        </w:rPr>
        <w:t xml:space="preserve">Proper response to fiber release episodes</w:t>
      </w:r>
    </w:p>
    <w:p>
      <w:pPr>
        <w:pStyle w:val="Heading2"/>
      </w:pPr>
      <w:r>
        <w:rPr>
          <w:rFonts w:ascii="Calibri" w:cs="Calibri" w:eastAsia="Calibri" w:hAnsi="Calibri"/>
          <w:b/>
          <w:bCs/>
          <w:color w:val="1B2A4A"/>
          <w:sz w:val="26"/>
          <w:szCs w:val="26"/>
        </w:rPr>
        <w:t xml:space="preserve">13.2 Training by Exposure Class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2400"/>
        <w:gridCol w:w="5400"/>
      </w:tblGrid>
      <w:tr>
        <w:tc>
          <w:tcPr>
            <w:tcW w:type="dxa" w:w="15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Class</w:t>
            </w:r>
          </w:p>
        </w:tc>
        <w:tc>
          <w:tcPr>
            <w:tcW w:type="dxa" w:w="24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Training Hours</w:t>
            </w:r>
          </w:p>
        </w:tc>
        <w:tc>
          <w:tcPr>
            <w:tcW w:type="dxa" w:w="54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Content Requirements</w:t>
            </w:r>
          </w:p>
        </w:tc>
      </w:tr>
      <w:tr>
        <w:tc>
          <w:tcPr>
            <w:tcW w:type="dxa" w:w="1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Class I</w:t>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32 hours + 8 hr annual</w:t>
            </w:r>
          </w:p>
        </w:tc>
        <w:tc>
          <w:tcPr>
            <w:tcW w:type="dxa" w:w="5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EPA-accredited contractor/supervisor course; all hazards and controls</w:t>
            </w:r>
          </w:p>
        </w:tc>
      </w:tr>
      <w:tr>
        <w:tc>
          <w:tcPr>
            <w:tcW w:type="dxa" w:w="1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Class II</w:t>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8 hours minimum</w:t>
            </w:r>
          </w:p>
        </w:tc>
        <w:tc>
          <w:tcPr>
            <w:tcW w:type="dxa" w:w="5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Hazard identification, controls, PPE for specific ACM type</w:t>
            </w:r>
          </w:p>
        </w:tc>
      </w:tr>
      <w:tr>
        <w:tc>
          <w:tcPr>
            <w:tcW w:type="dxa" w:w="15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Class III</w:t>
            </w:r>
          </w:p>
        </w:tc>
        <w:tc>
          <w:tcPr>
            <w:tcW w:type="dxa" w:w="2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16 hours minimum</w:t>
            </w:r>
          </w:p>
        </w:tc>
        <w:tc>
          <w:tcPr>
            <w:tcW w:type="dxa" w:w="5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Asbestos hazards, O&amp;M procedures, work practice controls</w:t>
            </w:r>
          </w:p>
        </w:tc>
      </w:tr>
      <w:tr>
        <w:tc>
          <w:tcPr>
            <w:tcW w:type="dxa" w:w="15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Class IV</w:t>
            </w:r>
          </w:p>
        </w:tc>
        <w:tc>
          <w:tcPr>
            <w:tcW w:type="dxa" w:w="2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2 hours minimum</w:t>
            </w:r>
          </w:p>
        </w:tc>
        <w:tc>
          <w:tcPr>
            <w:tcW w:type="dxa" w:w="5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Awareness training plus cleanup procedures</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pStyle w:val="Heading2"/>
      </w:pPr>
      <w:r>
        <w:rPr>
          <w:rFonts w:ascii="Calibri" w:cs="Calibri" w:eastAsia="Calibri" w:hAnsi="Calibri"/>
          <w:b/>
          <w:bCs/>
          <w:color w:val="1B2A4A"/>
          <w:sz w:val="26"/>
          <w:szCs w:val="26"/>
        </w:rPr>
        <w:t xml:space="preserve">13.3 Refresher Training</w:t>
      </w:r>
    </w:p>
    <w:p>
      <w:pPr>
        <w:spacing w:after="80" w:before="80"/>
        <w:jc w:val="left"/>
      </w:pPr>
      <w:r>
        <w:rPr>
          <w:rFonts w:ascii="Calibri" w:cs="Calibri" w:eastAsia="Calibri" w:hAnsi="Calibri"/>
          <w:b w:val="false"/>
          <w:bCs w:val="false"/>
          <w:i w:val="false"/>
          <w:iCs w:val="false"/>
          <w:color w:val="333333"/>
          <w:sz w:val="22"/>
          <w:szCs w:val="22"/>
        </w:rPr>
        <w:t xml:space="preserve">Annual refresher training is required for all classes. Training records shall be maintained for the duration of employment plus 30 years.</w:t>
      </w:r>
    </w:p>
    <w:p>
      <w:pPr>
        <w:pStyle w:val="Heading1"/>
      </w:pPr>
      <w:r>
        <w:rPr>
          <w:rFonts w:ascii="Calibri" w:cs="Calibri" w:eastAsia="Calibri" w:hAnsi="Calibri"/>
          <w:b/>
          <w:bCs/>
          <w:color w:val="1B2A4A"/>
          <w:sz w:val="32"/>
          <w:szCs w:val="32"/>
        </w:rPr>
        <w:t xml:space="preserve">14. Recordkeeping</w:t>
      </w:r>
    </w:p>
    <w:p>
      <w:pPr>
        <w:pStyle w:val="ListParagraph"/>
        <w:numPr>
          <w:ilvl w:val="0"/>
          <w:numId w:val="2"/>
        </w:numPr>
        <w:spacing w:after="40" w:before="40"/>
      </w:pPr>
      <w:r>
        <w:rPr>
          <w:rFonts w:ascii="Calibri" w:cs="Calibri" w:eastAsia="Calibri" w:hAnsi="Calibri"/>
          <w:color w:val="333333"/>
          <w:sz w:val="22"/>
          <w:szCs w:val="22"/>
        </w:rPr>
        <w:t xml:space="preserve">Exposure monitoring records — retained for 30 years per 29 CFR 1910.1020</w:t>
      </w:r>
    </w:p>
    <w:p>
      <w:pPr>
        <w:pStyle w:val="ListParagraph"/>
        <w:numPr>
          <w:ilvl w:val="0"/>
          <w:numId w:val="2"/>
        </w:numPr>
        <w:spacing w:after="40" w:before="40"/>
      </w:pPr>
      <w:r>
        <w:rPr>
          <w:rFonts w:ascii="Calibri" w:cs="Calibri" w:eastAsia="Calibri" w:hAnsi="Calibri"/>
          <w:color w:val="333333"/>
          <w:sz w:val="22"/>
          <w:szCs w:val="22"/>
        </w:rPr>
        <w:t xml:space="preserve">Medical surveillance records — retained for duration of employment plus 30 years</w:t>
      </w:r>
    </w:p>
    <w:p>
      <w:pPr>
        <w:pStyle w:val="ListParagraph"/>
        <w:numPr>
          <w:ilvl w:val="0"/>
          <w:numId w:val="2"/>
        </w:numPr>
        <w:spacing w:after="40" w:before="40"/>
      </w:pPr>
      <w:r>
        <w:rPr>
          <w:rFonts w:ascii="Calibri" w:cs="Calibri" w:eastAsia="Calibri" w:hAnsi="Calibri"/>
          <w:color w:val="333333"/>
          <w:sz w:val="22"/>
          <w:szCs w:val="22"/>
        </w:rPr>
        <w:t xml:space="preserve">Training records — retained for duration of employment plus 30 years</w:t>
      </w:r>
    </w:p>
    <w:p>
      <w:pPr>
        <w:pStyle w:val="ListParagraph"/>
        <w:numPr>
          <w:ilvl w:val="0"/>
          <w:numId w:val="2"/>
        </w:numPr>
        <w:spacing w:after="40" w:before="40"/>
      </w:pPr>
      <w:r>
        <w:rPr>
          <w:rFonts w:ascii="Calibri" w:cs="Calibri" w:eastAsia="Calibri" w:hAnsi="Calibri"/>
          <w:color w:val="333333"/>
          <w:sz w:val="22"/>
          <w:szCs w:val="22"/>
        </w:rPr>
        <w:t xml:space="preserve">Building asbestos surveys — retained for the life of the building</w:t>
      </w:r>
    </w:p>
    <w:p>
      <w:pPr>
        <w:pStyle w:val="ListParagraph"/>
        <w:numPr>
          <w:ilvl w:val="0"/>
          <w:numId w:val="2"/>
        </w:numPr>
        <w:spacing w:after="40" w:before="40"/>
      </w:pPr>
      <w:r>
        <w:rPr>
          <w:rFonts w:ascii="Calibri" w:cs="Calibri" w:eastAsia="Calibri" w:hAnsi="Calibri"/>
          <w:color w:val="333333"/>
          <w:sz w:val="22"/>
          <w:szCs w:val="22"/>
        </w:rPr>
        <w:t xml:space="preserve">Abatement project records — retained for 30 years</w:t>
      </w:r>
    </w:p>
    <w:p>
      <w:pPr>
        <w:pStyle w:val="ListParagraph"/>
        <w:numPr>
          <w:ilvl w:val="0"/>
          <w:numId w:val="2"/>
        </w:numPr>
        <w:spacing w:after="40" w:before="40"/>
      </w:pPr>
      <w:r>
        <w:rPr>
          <w:rFonts w:ascii="Calibri" w:cs="Calibri" w:eastAsia="Calibri" w:hAnsi="Calibri"/>
          <w:color w:val="333333"/>
          <w:sz w:val="22"/>
          <w:szCs w:val="22"/>
        </w:rPr>
        <w:t xml:space="preserve">Waste disposal manifests — retained for 30 years</w:t>
      </w:r>
    </w:p>
    <w:p>
      <w:pPr>
        <w:pStyle w:val="Heading1"/>
      </w:pPr>
      <w:r>
        <w:rPr>
          <w:rFonts w:ascii="Calibri" w:cs="Calibri" w:eastAsia="Calibri" w:hAnsi="Calibri"/>
          <w:b/>
          <w:bCs/>
          <w:color w:val="1B2A4A"/>
          <w:sz w:val="32"/>
          <w:szCs w:val="32"/>
        </w:rPr>
        <w:t xml:space="preserve">15. Program Review</w:t>
      </w:r>
    </w:p>
    <w:p>
      <w:pPr>
        <w:spacing w:after="80" w:before="80"/>
        <w:jc w:val="left"/>
      </w:pPr>
      <w:r>
        <w:rPr>
          <w:rFonts w:ascii="Calibri" w:cs="Calibri" w:eastAsia="Calibri" w:hAnsi="Calibri"/>
          <w:b w:val="false"/>
          <w:bCs w:val="false"/>
          <w:i w:val="false"/>
          <w:iCs w:val="false"/>
          <w:color w:val="333333"/>
          <w:sz w:val="22"/>
          <w:szCs w:val="22"/>
        </w:rPr>
        <w:t xml:space="preserve">This program shall be reviewed annually or whenever there is a change in processes, regulations, or after any asbestos-related incident. Reviews shall be documented and approved by the Safety Department.</w:t>
      </w:r>
    </w:p>
    <w:p>
      <w:r>
        <w:br w:type="page"/>
      </w:r>
    </w:p>
    <w:p>
      <w:pPr>
        <w:pStyle w:val="Heading1"/>
      </w:pPr>
      <w:r>
        <w:rPr>
          <w:rFonts w:ascii="Calibri" w:cs="Calibri" w:eastAsia="Calibri" w:hAnsi="Calibri"/>
          <w:b/>
          <w:bCs/>
          <w:color w:val="1B2A4A"/>
          <w:sz w:val="32"/>
          <w:szCs w:val="32"/>
        </w:rPr>
        <w:t xml:space="preserve">Appendix A: Asbestos Identification Checklist</w:t>
      </w:r>
    </w:p>
    <w:p>
      <w:pPr>
        <w:spacing w:after="80" w:before="80"/>
        <w:jc w:val="left"/>
      </w:pPr>
      <w:r>
        <w:rPr>
          <w:rFonts w:ascii="Calibri" w:cs="Calibri" w:eastAsia="Calibri" w:hAnsi="Calibri"/>
          <w:b w:val="false"/>
          <w:bCs w:val="false"/>
          <w:i/>
          <w:iCs/>
          <w:color w:val="333333"/>
          <w:sz w:val="22"/>
          <w:szCs w:val="22"/>
        </w:rPr>
        <w:t xml:space="preserve">Use this checklist to identify potential ACM during building surveys and pre-renovation inspections.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80"/>
        <w:jc w:val="left"/>
      </w:pPr>
      <w:r>
        <w:rPr>
          <w:rFonts w:ascii="Calibri" w:cs="Calibri" w:eastAsia="Calibri" w:hAnsi="Calibri"/>
          <w:b w:val="false"/>
          <w:bCs w:val="false"/>
          <w:i w:val="false"/>
          <w:iCs w:val="false"/>
          <w:color w:val="333333"/>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0"/>
        <w:gridCol w:w="1400"/>
        <w:gridCol w:w="1600"/>
        <w:gridCol w:w="2160"/>
        <w:gridCol w:w="1600"/>
        <w:gridCol w:w="1600"/>
      </w:tblGrid>
      <w:tr>
        <w:tc>
          <w:tcPr>
            <w:tcW w:type="dxa" w:w="10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Item</w:t>
            </w:r>
          </w:p>
        </w:tc>
        <w:tc>
          <w:tcPr>
            <w:tcW w:type="dxa" w:w="14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Location</w:t>
            </w:r>
          </w:p>
        </w:tc>
        <w:tc>
          <w:tcPr>
            <w:tcW w:type="dxa" w:w="16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Material Type</w:t>
            </w:r>
          </w:p>
        </w:tc>
        <w:tc>
          <w:tcPr>
            <w:tcW w:type="dxa" w:w="21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Condition</w:t>
            </w:r>
          </w:p>
        </w:tc>
        <w:tc>
          <w:tcPr>
            <w:tcW w:type="dxa" w:w="16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Presumed ACM?</w:t>
            </w:r>
          </w:p>
        </w:tc>
        <w:tc>
          <w:tcPr>
            <w:tcW w:type="dxa" w:w="16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Sample Taken?</w:t>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Good  ☐ Fair  ☐ Poor</w:t>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Good  ☐ Fair  ☐ Poor</w:t>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Good  ☐ Fair  ☐ Poor</w:t>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Good  ☐ Fair  ☐ Poor</w:t>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Good  ☐ Fair  ☐ Poor</w:t>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Good  ☐ Fair  ☐ Poor</w:t>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r>
      <w:tr>
        <w:tc>
          <w:tcPr>
            <w:tcW w:type="dxa" w:w="1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4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1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Good  ☐ Fair  ☐ Poor</w:t>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c>
          <w:tcPr>
            <w:tcW w:type="dxa" w:w="16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r>
      <w:tr>
        <w:tc>
          <w:tcPr>
            <w:tcW w:type="dxa" w:w="1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4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w:r>
          </w:p>
        </w:tc>
        <w:tc>
          <w:tcPr>
            <w:tcW w:type="dxa" w:w="21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Good  ☐ Fair  ☐ Poor</w:t>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c>
          <w:tcPr>
            <w:tcW w:type="dxa" w:w="16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 Yes  ☐ No</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val="false"/>
          <w:bCs w:val="false"/>
          <w:i w:val="false"/>
          <w:iCs w:val="false"/>
          <w:color w:val="333333"/>
          <w:sz w:val="22"/>
          <w:szCs w:val="22"/>
        </w:rPr>
        <w:t xml:space="preserve">Surveyed By: ______________________________     Date: ____________</w:t>
      </w:r>
    </w:p>
    <w:p>
      <w:pPr>
        <w:spacing w:after="80" w:before="80"/>
        <w:jc w:val="left"/>
      </w:pPr>
      <w:r>
        <w:rPr>
          <w:rFonts w:ascii="Calibri" w:cs="Calibri" w:eastAsia="Calibri" w:hAnsi="Calibri"/>
          <w:b w:val="false"/>
          <w:bCs w:val="false"/>
          <w:i w:val="false"/>
          <w:iCs w:val="false"/>
          <w:color w:val="333333"/>
          <w:sz w:val="22"/>
          <w:szCs w:val="22"/>
        </w:rPr>
        <w:t xml:space="preserve">Building / Location: ______________________________</w:t>
      </w:r>
    </w:p>
    <w:p>
      <w:pPr>
        <w:spacing w:after="80" w:before="80"/>
        <w:jc w:val="left"/>
      </w:pPr>
      <w:r>
        <w:rPr>
          <w:rFonts w:ascii="Calibri" w:cs="Calibri" w:eastAsia="Calibri" w:hAnsi="Calibri"/>
          <w:b w:val="false"/>
          <w:bCs w:val="false"/>
          <w:i w:val="false"/>
          <w:iCs w:val="false"/>
          <w:color w:val="333333"/>
          <w:sz w:val="22"/>
          <w:szCs w:val="22"/>
        </w:rPr>
        <w:t xml:space="preserve">Notes: ________________________________________________________________________</w:t>
      </w:r>
    </w:p>
    <w:p>
      <w:r>
        <w:br w:type="page"/>
      </w:r>
    </w:p>
    <w:p>
      <w:pPr>
        <w:pStyle w:val="Heading1"/>
      </w:pPr>
      <w:r>
        <w:rPr>
          <w:rFonts w:ascii="Calibri" w:cs="Calibri" w:eastAsia="Calibri" w:hAnsi="Calibri"/>
          <w:b/>
          <w:bCs/>
          <w:color w:val="1B2A4A"/>
          <w:sz w:val="32"/>
          <w:szCs w:val="32"/>
        </w:rPr>
        <w:t xml:space="preserve">Appendix B: Worker Notification Form</w:t>
      </w:r>
    </w:p>
    <w:p>
      <w:pPr>
        <w:spacing w:after="80" w:before="80"/>
        <w:jc w:val="left"/>
      </w:pPr>
      <w:r>
        <w:rPr>
          <w:rFonts w:ascii="Calibri" w:cs="Calibri" w:eastAsia="Calibri" w:hAnsi="Calibri"/>
          <w:b w:val="false"/>
          <w:bCs w:val="false"/>
          <w:i/>
          <w:iCs/>
          <w:color w:val="333333"/>
          <w:sz w:val="22"/>
          <w:szCs w:val="22"/>
        </w:rPr>
        <w:t xml:space="preserve">This form must be completed and provided to employees within 15 working days of receiving exposure monitoring 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val="false"/>
          <w:bCs w:val="false"/>
          <w:i w:val="false"/>
          <w:iCs w:val="false"/>
          <w:color w:val="333333"/>
          <w:sz w:val="22"/>
          <w:szCs w:val="22"/>
        </w:rPr>
        <w:t xml:space="preserve">Date of Notification: ____________________</w:t>
      </w:r>
    </w:p>
    <w:p>
      <w:pPr>
        <w:spacing w:after="80" w:before="80"/>
        <w:jc w:val="left"/>
      </w:pPr>
      <w:r>
        <w:rPr>
          <w:rFonts w:ascii="Calibri" w:cs="Calibri" w:eastAsia="Calibri" w:hAnsi="Calibri"/>
          <w:b w:val="false"/>
          <w:bCs w:val="false"/>
          <w:i w:val="false"/>
          <w:iCs w:val="false"/>
          <w:color w:val="333333"/>
          <w:sz w:val="22"/>
          <w:szCs w:val="22"/>
        </w:rPr>
        <w:t xml:space="preserve">Employee Name: ______________________________     Employee ID: ____________</w:t>
      </w:r>
    </w:p>
    <w:p>
      <w:pPr>
        <w:spacing w:after="80" w:before="80"/>
        <w:jc w:val="left"/>
      </w:pPr>
      <w:r>
        <w:rPr>
          <w:rFonts w:ascii="Calibri" w:cs="Calibri" w:eastAsia="Calibri" w:hAnsi="Calibri"/>
          <w:b w:val="false"/>
          <w:bCs w:val="false"/>
          <w:i w:val="false"/>
          <w:iCs w:val="false"/>
          <w:color w:val="333333"/>
          <w:sz w:val="22"/>
          <w:szCs w:val="22"/>
        </w:rPr>
        <w:t xml:space="preserve">Job Title: ______________________________</w:t>
      </w:r>
    </w:p>
    <w:p>
      <w:pPr>
        <w:spacing w:after="80" w:before="80"/>
        <w:jc w:val="left"/>
      </w:pPr>
      <w:r>
        <w:rPr>
          <w:rFonts w:ascii="Calibri" w:cs="Calibri" w:eastAsia="Calibri" w:hAnsi="Calibri"/>
          <w:b w:val="false"/>
          <w:bCs w:val="false"/>
          <w:i w:val="false"/>
          <w:iCs w:val="false"/>
          <w:color w:val="333333"/>
          <w:sz w:val="22"/>
          <w:szCs w:val="22"/>
        </w:rPr>
        <w:t xml:space="preserve">Work Location / Area: ______________________________</w:t>
      </w:r>
    </w:p>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bCs/>
          <w:i w:val="false"/>
          <w:iCs w:val="false"/>
          <w:color w:val="333333"/>
          <w:sz w:val="22"/>
          <w:szCs w:val="22"/>
        </w:rPr>
        <w:t xml:space="preserve">Monitoring Results:</w:t>
      </w:r>
    </w:p>
    <w:p>
      <w:pPr>
        <w:spacing w:after="80" w:before="80"/>
        <w:jc w:val="left"/>
      </w:pPr>
      <w:r>
        <w:rPr>
          <w:rFonts w:ascii="Calibri" w:cs="Calibri" w:eastAsia="Calibri" w:hAnsi="Calibri"/>
          <w:b w:val="false"/>
          <w:bCs w:val="false"/>
          <w:i w:val="false"/>
          <w:iCs w:val="false"/>
          <w:color w:val="333333"/>
          <w:sz w:val="22"/>
          <w:szCs w:val="22"/>
        </w:rPr>
        <w:t xml:space="preserve">Date(s) of Monitoring: ____________________</w:t>
      </w:r>
    </w:p>
    <w:p>
      <w:pPr>
        <w:spacing w:after="80" w:before="80"/>
        <w:jc w:val="left"/>
      </w:pPr>
      <w:r>
        <w:rPr>
          <w:rFonts w:ascii="Calibri" w:cs="Calibri" w:eastAsia="Calibri" w:hAnsi="Calibri"/>
          <w:b w:val="false"/>
          <w:bCs w:val="false"/>
          <w:i w:val="false"/>
          <w:iCs w:val="false"/>
          <w:color w:val="333333"/>
          <w:sz w:val="22"/>
          <w:szCs w:val="22"/>
        </w:rPr>
        <w:t xml:space="preserve">8-Hour TWA Result: ____________ f/cc</w:t>
      </w:r>
    </w:p>
    <w:p>
      <w:pPr>
        <w:spacing w:after="80" w:before="80"/>
        <w:jc w:val="left"/>
      </w:pPr>
      <w:r>
        <w:rPr>
          <w:rFonts w:ascii="Calibri" w:cs="Calibri" w:eastAsia="Calibri" w:hAnsi="Calibri"/>
          <w:b w:val="false"/>
          <w:bCs w:val="false"/>
          <w:i w:val="false"/>
          <w:iCs w:val="false"/>
          <w:color w:val="333333"/>
          <w:sz w:val="22"/>
          <w:szCs w:val="22"/>
        </w:rPr>
        <w:t xml:space="preserve">30-Minute Excursion Result: ____________ f/cc</w:t>
      </w:r>
    </w:p>
    <w:p>
      <w:pPr>
        <w:spacing w:after="80" w:before="80"/>
        <w:jc w:val="left"/>
      </w:pPr>
      <w:r>
        <w:rPr>
          <w:rFonts w:ascii="Calibri" w:cs="Calibri" w:eastAsia="Calibri" w:hAnsi="Calibri"/>
          <w:b w:val="false"/>
          <w:bCs w:val="false"/>
          <w:i w:val="false"/>
          <w:iCs w:val="false"/>
          <w:color w:val="333333"/>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000"/>
        <w:gridCol w:w="2360"/>
      </w:tblGrid>
      <w:tr>
        <w:tc>
          <w:tcPr>
            <w:tcW w:type="dxa" w:w="700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Result</w:t>
            </w:r>
          </w:p>
        </w:tc>
        <w:tc>
          <w:tcPr>
            <w:tcW w:type="dxa" w:w="2360"/>
            <w:tcBorders>
              <w:top w:val="single" w:color="B0B0B0" w:sz="1"/>
              <w:left w:val="single" w:color="B0B0B0" w:sz="1"/>
              <w:bottom w:val="single" w:color="B0B0B0" w:sz="1"/>
              <w:right w:val="single" w:color="B0B0B0"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Check</w:t>
            </w:r>
          </w:p>
        </w:tc>
      </w:tr>
      <w:tr>
        <w:tc>
          <w:tcPr>
            <w:tcW w:type="dxa" w:w="7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Below Action Level (0.1 f/cc)</w:t>
            </w:r>
          </w:p>
        </w:tc>
        <w:tc>
          <w:tcPr>
            <w:tcW w:type="dxa" w:w="23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700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At or Above PEL (0.1 f/cc TWA)</w:t>
            </w:r>
          </w:p>
        </w:tc>
        <w:tc>
          <w:tcPr>
            <w:tcW w:type="dxa" w:w="2360"/>
            <w:tcBorders>
              <w:top w:val="single" w:color="B0B0B0" w:sz="1"/>
              <w:left w:val="single" w:color="B0B0B0" w:sz="1"/>
              <w:bottom w:val="single" w:color="B0B0B0" w:sz="1"/>
              <w:right w:val="single" w:color="B0B0B0" w:sz="1"/>
            </w:tcBorders>
            <w:shd w:fill="F2F4F7"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r>
        <w:tc>
          <w:tcPr>
            <w:tcW w:type="dxa" w:w="700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Above Excursion Limit (1.0 f/cc / 30 min)</w:t>
            </w:r>
          </w:p>
        </w:tc>
        <w:tc>
          <w:tcPr>
            <w:tcW w:type="dxa" w:w="2360"/>
            <w:tcBorders>
              <w:top w:val="single" w:color="B0B0B0" w:sz="1"/>
              <w:left w:val="single" w:color="B0B0B0" w:sz="1"/>
              <w:bottom w:val="single" w:color="B0B0B0" w:sz="1"/>
              <w:right w:val="single" w:color="B0B0B0" w:sz="1"/>
            </w:tcBorders>
            <w:shd w:fill="FFFFFF" w:val="clear"/>
            <w:tcMar>
              <w:top w:type="dxa" w:w="50"/>
              <w:left w:type="dxa" w:w="80"/>
              <w:bottom w:type="dxa" w:w="50"/>
              <w:right w:type="dxa" w:w="80"/>
            </w:tcMar>
            <w:vAlign w:val="center"/>
          </w:tcPr>
          <w:p>
            <w:r>
              <w:rPr>
                <w:rFonts w:ascii="Calibri" w:cs="Calibri" w:eastAsia="Calibri" w:hAnsi="Calibri"/>
                <w:color w:val="333333"/>
                <w:sz w:val="20"/>
                <w:szCs w:val="20"/>
              </w:rPr>
              <w:t xml:space="preserve">☐</w:t>
            </w:r>
          </w:p>
        </w:tc>
      </w:tr>
    </w:tbl>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bCs/>
          <w:i w:val="false"/>
          <w:iCs w:val="false"/>
          <w:color w:val="333333"/>
          <w:sz w:val="22"/>
          <w:szCs w:val="22"/>
        </w:rPr>
        <w:t xml:space="preserve">Corrective Actions Taken (if above PEL):</w:t>
      </w:r>
    </w:p>
    <w:p>
      <w:pPr>
        <w:spacing w:after="80" w:before="80"/>
        <w:jc w:val="left"/>
      </w:pPr>
      <w:r>
        <w:rPr>
          <w:rFonts w:ascii="Calibri" w:cs="Calibri" w:eastAsia="Calibri" w:hAnsi="Calibri"/>
          <w:b w:val="false"/>
          <w:bCs w:val="false"/>
          <w:i w:val="false"/>
          <w:iCs w:val="false"/>
          <w:color w:val="333333"/>
          <w:sz w:val="22"/>
          <w:szCs w:val="22"/>
        </w:rPr>
        <w:t xml:space="preserve">________________________________________________________________________</w:t>
      </w:r>
    </w:p>
    <w:p>
      <w:pPr>
        <w:spacing w:after="80" w:before="80"/>
        <w:jc w:val="left"/>
      </w:pPr>
      <w:r>
        <w:rPr>
          <w:rFonts w:ascii="Calibri" w:cs="Calibri" w:eastAsia="Calibri" w:hAnsi="Calibri"/>
          <w:b w:val="false"/>
          <w:bCs w:val="false"/>
          <w:i w:val="false"/>
          <w:iCs w:val="false"/>
          <w:color w:val="333333"/>
          <w:sz w:val="22"/>
          <w:szCs w:val="22"/>
        </w:rPr>
        <w:t xml:space="preserve">________________________________________________________________________</w:t>
      </w:r>
    </w:p>
    <w:p>
      <w:pPr>
        <w:spacing w:after="80" w:before="80"/>
        <w:jc w:val="left"/>
      </w:pPr>
      <w:r>
        <w:rPr>
          <w:rFonts w:ascii="Calibri" w:cs="Calibri" w:eastAsia="Calibri" w:hAnsi="Calibri"/>
          <w:b w:val="false"/>
          <w:bCs w:val="false"/>
          <w:i w:val="false"/>
          <w:iCs w:val="false"/>
          <w:color w:val="333333"/>
          <w:sz w:val="22"/>
          <w:szCs w:val="22"/>
        </w:rPr>
        <w:t xml:space="preserve"/>
      </w:r>
    </w:p>
    <w:p>
      <w:pPr>
        <w:spacing w:after="80" w:before="80"/>
        <w:jc w:val="left"/>
      </w:pPr>
      <w:r>
        <w:rPr>
          <w:rFonts w:ascii="Calibri" w:cs="Calibri" w:eastAsia="Calibri" w:hAnsi="Calibri"/>
          <w:b w:val="false"/>
          <w:bCs w:val="false"/>
          <w:i w:val="false"/>
          <w:iCs w:val="false"/>
          <w:color w:val="333333"/>
          <w:sz w:val="22"/>
          <w:szCs w:val="22"/>
        </w:rPr>
        <w:t xml:space="preserve">Supervisor Signature: ______________________________     Date: ____________</w:t>
      </w:r>
    </w:p>
    <w:p>
      <w:pPr>
        <w:spacing w:after="80" w:before="80"/>
        <w:jc w:val="left"/>
      </w:pPr>
      <w:r>
        <w:rPr>
          <w:rFonts w:ascii="Calibri" w:cs="Calibri" w:eastAsia="Calibri" w:hAnsi="Calibri"/>
          <w:b w:val="false"/>
          <w:bCs w:val="false"/>
          <w:i w:val="false"/>
          <w:iCs w:val="false"/>
          <w:color w:val="333333"/>
          <w:sz w:val="22"/>
          <w:szCs w:val="22"/>
        </w:rPr>
        <w:t xml:space="preserve">Employee Signature: ______________________________     Date: ____________</w:t>
      </w:r>
    </w:p>
    <w:sectPr>
      <w:headerReference w:type="default" r:id="rId7"/>
      <w:footerReference w:type="default" r:id="rId8"/>
      <w:pgSz w:w="12240" w:h="15840" w:orient="portrait"/>
      <w:pgMar w:top="1440" w:right="144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Asbestos Awareness Program — [COMPANY NAME]</w:t>
    </w:r>
  </w:p>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AAAAAA"/>
        <w:sz w:val="14"/>
        <w:szCs w:val="14"/>
      </w:rPr>
      <w:t xml:space="preserve">CONFIDENTIAL — Property of [COMPANY NAME]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60"/>
            <w:left w:type="dxa" w:w="140"/>
            <w:bottom w:type="dxa" w:w="60"/>
            <w:right w:type="dxa" w:w="140"/>
          </w:tcMar>
          <w:vAlign w:val="center"/>
        </w:tcPr>
        <w:p>
          <w:pPr>
            <w:spacing w:after="0" w:before="0"/>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20"/>
      <w:outlineLvl w:val="2"/>
    </w:pPr>
    <w:rPr>
      <w:rFonts w:ascii="Calibri" w:cs="Calibri" w:eastAsia="Calibri" w:hAnsi="Calibri"/>
      <w:b/>
      <w:bCs/>
      <w:color w:val="E8A838"/>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2026-03-16T00:23:45.908Z</dcterms:created>
  <dcterms:modified xsi:type="dcterms:W3CDTF">2026-03-16T00:23:45.909Z</dcterms:modified>
</cp:coreProperties>
</file>

<file path=docProps/custom.xml><?xml version="1.0" encoding="utf-8"?>
<Properties xmlns="http://schemas.openxmlformats.org/officeDocument/2006/custom-properties" xmlns:vt="http://schemas.openxmlformats.org/officeDocument/2006/docPropsVTypes"/>
</file>