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200"/>
              <w:left w:type="dxa" w:w="200"/>
              <w:bottom w:type="dxa" w:w="200"/>
              <w:right w:type="dxa" w:w="200"/>
            </w:tcMar>
          </w:tcPr>
          <w:p>
            <w:pPr>
              <w:spacing w:after="100"/>
              <w:jc w:val="center"/>
            </w:pPr>
            <w:r>
              <w:rPr>
                <w:rFonts w:ascii="Calibri" w:cs="Calibri" w:eastAsia="Calibri" w:hAnsi="Calibri"/>
                <w:b/>
                <w:bCs/>
                <w:color w:val="E8A838"/>
                <w:sz w:val="28"/>
                <w:szCs w:val="28"/>
              </w:rPr>
              <w:t xml:space="preserve">FORBES SAFETY SOLUTIONS</w:t>
            </w:r>
          </w:p>
        </w:tc>
      </w:tr>
    </w:tbl>
    <w:p>
      <w:pPr>
        <w:spacing w:after="0" w:before="600"/>
      </w:pPr>
    </w:p>
    <w:p>
      <w:pPr>
        <w:spacing w:after="200"/>
        <w:jc w:val="center"/>
      </w:pPr>
      <w:r>
        <w:rPr>
          <w:rFonts w:ascii="Calibri" w:cs="Calibri" w:eastAsia="Calibri" w:hAnsi="Calibri"/>
          <w:b/>
          <w:bCs/>
          <w:color w:val="1B2A4A"/>
          <w:sz w:val="48"/>
          <w:szCs w:val="48"/>
        </w:rPr>
        <w:t xml:space="preserve">Lead Exposure Control Plan</w:t>
      </w:r>
    </w:p>
    <w:p>
      <w:pPr>
        <w:spacing w:after="200"/>
        <w:jc w:val="center"/>
      </w:pPr>
      <w:r>
        <w:rPr>
          <w:rFonts w:ascii="Calibri" w:cs="Calibri" w:eastAsia="Calibri" w:hAnsi="Calibri"/>
          <w:color w:val="555555"/>
          <w:sz w:val="28"/>
          <w:szCs w:val="28"/>
        </w:rPr>
        <w:t xml:space="preserve">Construction Lead Standard</w:t>
      </w:r>
    </w:p>
    <w:tbl>
      <w:tblPr>
        <w:tblW w:type="dxa" w:w="3000"/>
        <w:tblBorders>
          <w:top w:val="single" w:color="auto" w:sz="4"/>
          <w:left w:val="single" w:color="auto" w:sz="4"/>
          <w:bottom w:val="single" w:color="auto" w:sz="4"/>
          <w:right w:val="single" w:color="auto" w:sz="4"/>
          <w:insideH w:val="single" w:color="auto" w:sz="4"/>
          <w:insideV w:val="single" w:color="auto" w:sz="4"/>
        </w:tblBorders>
      </w:tblPr>
      <w:tblGrid>
        <w:gridCol w:w="3000"/>
      </w:tblGrid>
      <w:tr>
        <w:tc>
          <w:tcPr>
            <w:tcW w:type="dxa" w:w="300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jc w:val="center"/>
            </w:pPr>
            <w:r>
              <w:rPr>
                <w:sz w:val="4"/>
                <w:szCs w:val="4"/>
              </w:rPr>
              <w:t xml:space="preserve"> </w:t>
            </w:r>
          </w:p>
        </w:tc>
      </w:tr>
    </w:tbl>
    <w:p>
      <w:pPr>
        <w:spacing w:after="200" w:before="600"/>
      </w:pPr>
    </w:p>
    <w:p>
      <w:pPr>
        <w:jc w:val="center"/>
      </w:pPr>
      <w:r>
        <w:rPr>
          <w:color w:val="666666"/>
          <w:sz w:val="24"/>
          <w:szCs w:val="24"/>
        </w:rPr>
        <w:t xml:space="preserve">Prepared for:</w:t>
      </w:r>
    </w:p>
    <w:p>
      <w:pPr>
        <w:spacing w:after="100"/>
        <w:jc w:val="center"/>
      </w:pPr>
      <w:r>
        <w:rPr>
          <w:b/>
          <w:bCs/>
          <w:color w:val="1B2A4A"/>
          <w:sz w:val="32"/>
          <w:szCs w:val="32"/>
        </w:rPr>
        <w:t xml:space="preserve">[COMPANY NAME]</w:t>
      </w:r>
    </w:p>
    <w:p>
      <w:pPr>
        <w:spacing w:after="0" w:before="200"/>
      </w:pPr>
    </w:p>
    <w:p>
      <w:pPr>
        <w:jc w:val="center"/>
      </w:pPr>
      <w:r>
        <w:rPr>
          <w:b/>
          <w:bCs/>
          <w:color w:val="666666"/>
          <w:sz w:val="20"/>
          <w:szCs w:val="20"/>
        </w:rPr>
        <w:t xml:space="preserve">Regulatory References:</w:t>
      </w:r>
    </w:p>
    <w:p>
      <w:pPr>
        <w:spacing w:after="100"/>
        <w:jc w:val="center"/>
      </w:pPr>
      <w:r>
        <w:rPr>
          <w:color w:val="666666"/>
          <w:sz w:val="20"/>
          <w:szCs w:val="20"/>
        </w:rPr>
        <w:t xml:space="preserve">29 CFR 1926.62 (Construction) | 29 CFR 1910.1025 (General Industry)</w:t>
      </w:r>
    </w:p>
    <w:p>
      <w:pPr>
        <w:spacing w:after="0" w:before="400"/>
      </w:pPr>
    </w:p>
    <w:p>
      <w:pPr>
        <w:jc w:val="center"/>
      </w:pPr>
      <w:r>
        <w:rPr>
          <w:color w:val="666666"/>
          <w:sz w:val="22"/>
          <w:szCs w:val="22"/>
        </w:rPr>
        <w:t xml:space="preserve">Effective Date: [DATE]</w:t>
      </w:r>
    </w:p>
    <w:p>
      <w:pPr>
        <w:jc w:val="center"/>
      </w:pPr>
      <w:r>
        <w:rPr>
          <w:color w:val="666666"/>
          <w:sz w:val="22"/>
          <w:szCs w:val="22"/>
        </w:rPr>
        <w:t xml:space="preserve">Review Date: [ANNUAL REVIEW DATE]</w:t>
      </w:r>
    </w:p>
    <w:p>
      <w:r>
        <w:br w:type="page"/>
      </w:r>
    </w:p>
    <w:p>
      <w:pPr>
        <w:pStyle w:val="Heading1"/>
      </w:pPr>
      <w: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t xml:space="preserve">1. Purpose and Scope</w:t>
      </w:r>
    </w:p>
    <w:p>
      <w:pPr>
        <w:spacing w:after="120"/>
      </w:pPr>
      <w:r>
        <w:t xml:space="preserve">This Lead Exposure Control Plan establishes the procedures and controls to protect [COMPANY NAME] employees from occupational exposure to lead during construction activities. This plan implements the requirements of the OSHA Construction Lead Standard (29 CFR 1926.62) and applicable provisions of the General Industry Lead Standard (29 CFR 1910.1025).</w:t>
      </w:r>
    </w:p>
    <w:p>
      <w:pPr>
        <w:spacing w:after="120"/>
      </w:pPr>
      <w:r>
        <w:t xml:space="preserve">This plan applies to all employees and contractors who perform tasks that may result in exposure to lead or lead-containing materials, including but not limited to demolition, renovation, painting, cutting or welding on lead-painted steel, abrasive blasting, bridge work, and residential lead abatement.</w:t>
      </w:r>
    </w:p>
    <w:p>
      <w:pPr>
        <w:spacing w:after="0"/>
      </w:pPr>
    </w:p>
    <w:p>
      <w:pPr>
        <w:spacing w:after="120"/>
      </w:pPr>
      <w:r>
        <w:rPr>
          <w:b/>
          <w:bCs/>
        </w:rPr>
        <w:t xml:space="preserve">Permissible Exposure Limit (PEL): 50 µg/m³ as an 8-hour TWA</w:t>
      </w:r>
    </w:p>
    <w:p>
      <w:pPr>
        <w:spacing w:after="120"/>
      </w:pPr>
      <w:r>
        <w:rPr>
          <w:b/>
          <w:bCs/>
        </w:rPr>
        <w:t xml:space="preserve">Action Level (AL): 30 µg/m³ as an 8-hour TWA</w:t>
      </w:r>
    </w:p>
    <w:p>
      <w:pPr>
        <w:pStyle w:val="Heading1"/>
      </w:pPr>
      <w:r>
        <w:t xml:space="preserve">2. Regulatory References</w:t>
      </w:r>
    </w:p>
    <w:p>
      <w:pPr>
        <w:pStyle w:val="ListParagraph"/>
        <w:numPr>
          <w:ilvl w:val="0"/>
          <w:numId w:val="2"/>
        </w:numPr>
        <w:spacing w:after="60"/>
      </w:pPr>
      <w:r>
        <w:t xml:space="preserve">29 CFR 1926.62 — Lead Exposure in Construction</w:t>
      </w:r>
    </w:p>
    <w:p>
      <w:pPr>
        <w:pStyle w:val="ListParagraph"/>
        <w:numPr>
          <w:ilvl w:val="0"/>
          <w:numId w:val="2"/>
        </w:numPr>
        <w:spacing w:after="60"/>
      </w:pPr>
      <w:r>
        <w:t xml:space="preserve">29 CFR 1910.1025 — Lead (General Industry)</w:t>
      </w:r>
    </w:p>
    <w:p>
      <w:pPr>
        <w:pStyle w:val="ListParagraph"/>
        <w:numPr>
          <w:ilvl w:val="0"/>
          <w:numId w:val="2"/>
        </w:numPr>
        <w:spacing w:after="60"/>
      </w:pPr>
      <w:r>
        <w:t xml:space="preserve">29 CFR 1926.103 / 1910.134 — Respiratory Protection</w:t>
      </w:r>
    </w:p>
    <w:p>
      <w:pPr>
        <w:pStyle w:val="ListParagraph"/>
        <w:numPr>
          <w:ilvl w:val="0"/>
          <w:numId w:val="2"/>
        </w:numPr>
        <w:spacing w:after="60"/>
      </w:pPr>
      <w:r>
        <w:t xml:space="preserve">40 CFR Part 745 — EPA Lead-Based Paint Renovation, Repair, and Painting (RRP) Rule</w:t>
      </w:r>
    </w:p>
    <w:p>
      <w:pPr>
        <w:pStyle w:val="ListParagraph"/>
        <w:numPr>
          <w:ilvl w:val="0"/>
          <w:numId w:val="2"/>
        </w:numPr>
        <w:spacing w:after="60"/>
      </w:pPr>
      <w:r>
        <w:t xml:space="preserve">HUD Guidelines for the Evaluation and Control of Lead-Based Paint Hazards</w:t>
      </w:r>
    </w:p>
    <w:p>
      <w:pPr>
        <w:pStyle w:val="ListParagraph"/>
        <w:numPr>
          <w:ilvl w:val="0"/>
          <w:numId w:val="2"/>
        </w:numPr>
        <w:spacing w:after="60"/>
      </w:pPr>
      <w:r>
        <w:t xml:space="preserve">NIOSH Criteria for a Recommended Standard: Occupational Exposure to Lead</w:t>
      </w:r>
    </w:p>
    <w:p>
      <w:pPr>
        <w:pStyle w:val="Heading1"/>
      </w:pPr>
      <w:r>
        <w:t xml:space="preserve">3. Health Effects of Lead Exposure</w:t>
      </w:r>
    </w:p>
    <w:p>
      <w:pPr>
        <w:spacing w:after="120"/>
      </w:pPr>
      <w:r>
        <w:t xml:space="preserve">Lead is a toxic metal that affects virtually every system of the body. Health effects include:</w:t>
      </w:r>
    </w:p>
    <w:p>
      <w:pPr>
        <w:pStyle w:val="Heading2"/>
      </w:pPr>
      <w:r>
        <w:t xml:space="preserve">3.1 Acute Effects (High Exposure)</w:t>
      </w:r>
    </w:p>
    <w:p>
      <w:pPr>
        <w:pStyle w:val="ListParagraph"/>
        <w:numPr>
          <w:ilvl w:val="0"/>
          <w:numId w:val="2"/>
        </w:numPr>
        <w:spacing w:after="60"/>
      </w:pPr>
      <w:r>
        <w:t xml:space="preserve">Abdominal pain (lead colic), nausea, vomiting</w:t>
      </w:r>
    </w:p>
    <w:p>
      <w:pPr>
        <w:pStyle w:val="ListParagraph"/>
        <w:numPr>
          <w:ilvl w:val="0"/>
          <w:numId w:val="2"/>
        </w:numPr>
        <w:spacing w:after="60"/>
      </w:pPr>
      <w:r>
        <w:t xml:space="preserve">Muscle weakness and pain</w:t>
      </w:r>
    </w:p>
    <w:p>
      <w:pPr>
        <w:pStyle w:val="ListParagraph"/>
        <w:numPr>
          <w:ilvl w:val="0"/>
          <w:numId w:val="2"/>
        </w:numPr>
        <w:spacing w:after="60"/>
      </w:pPr>
      <w:r>
        <w:t xml:space="preserve">Fatigue, irritability, headache</w:t>
      </w:r>
    </w:p>
    <w:p>
      <w:pPr>
        <w:pStyle w:val="ListParagraph"/>
        <w:numPr>
          <w:ilvl w:val="0"/>
          <w:numId w:val="2"/>
        </w:numPr>
        <w:spacing w:after="60"/>
      </w:pPr>
      <w:r>
        <w:t xml:space="preserve">Metallic taste in the mouth</w:t>
      </w:r>
    </w:p>
    <w:p>
      <w:pPr>
        <w:pStyle w:val="Heading2"/>
      </w:pPr>
      <w:r>
        <w:t xml:space="preserve">3.2 Chronic Effects (Long-Term Exposure)</w:t>
      </w:r>
    </w:p>
    <w:p>
      <w:pPr>
        <w:pStyle w:val="ListParagraph"/>
        <w:numPr>
          <w:ilvl w:val="0"/>
          <w:numId w:val="2"/>
        </w:numPr>
        <w:spacing w:after="60"/>
      </w:pPr>
      <w:r>
        <w:t xml:space="preserve">Nervous system: peripheral neuropathy, cognitive impairment, encephalopathy</w:t>
      </w:r>
    </w:p>
    <w:p>
      <w:pPr>
        <w:pStyle w:val="ListParagraph"/>
        <w:numPr>
          <w:ilvl w:val="0"/>
          <w:numId w:val="2"/>
        </w:numPr>
        <w:spacing w:after="60"/>
      </w:pPr>
      <w:r>
        <w:t xml:space="preserve">Kidney: nephropathy, reduced kidney function</w:t>
      </w:r>
    </w:p>
    <w:p>
      <w:pPr>
        <w:pStyle w:val="ListParagraph"/>
        <w:numPr>
          <w:ilvl w:val="0"/>
          <w:numId w:val="2"/>
        </w:numPr>
        <w:spacing w:after="60"/>
      </w:pPr>
      <w:r>
        <w:t xml:space="preserve">Reproductive: reduced fertility, miscarriage, developmental effects</w:t>
      </w:r>
    </w:p>
    <w:p>
      <w:pPr>
        <w:pStyle w:val="ListParagraph"/>
        <w:numPr>
          <w:ilvl w:val="0"/>
          <w:numId w:val="2"/>
        </w:numPr>
        <w:spacing w:after="60"/>
      </w:pPr>
      <w:r>
        <w:t xml:space="preserve">Cardiovascular: hypertension, increased risk of heart disease</w:t>
      </w:r>
    </w:p>
    <w:p>
      <w:pPr>
        <w:pStyle w:val="ListParagraph"/>
        <w:numPr>
          <w:ilvl w:val="0"/>
          <w:numId w:val="2"/>
        </w:numPr>
        <w:spacing w:after="60"/>
      </w:pPr>
      <w:r>
        <w:t xml:space="preserve">Blood: anemia (lead inhibits hemoglobin synthesis)</w:t>
      </w:r>
    </w:p>
    <w:p>
      <w:pPr>
        <w:pStyle w:val="ListParagraph"/>
        <w:numPr>
          <w:ilvl w:val="0"/>
          <w:numId w:val="2"/>
        </w:numPr>
        <w:spacing w:after="60"/>
      </w:pPr>
      <w:r>
        <w:t xml:space="preserve">Bones: lead stored in bones; released during pregnancy, illness, or aging</w:t>
      </w:r>
    </w:p>
    <w:p>
      <w:pPr>
        <w:pStyle w:val="Heading1"/>
      </w:pPr>
      <w:r>
        <w:t xml:space="preserve">4. Roles and Responsibilities</w:t>
      </w:r>
    </w:p>
    <w:p>
      <w:pPr>
        <w:pStyle w:val="Heading2"/>
      </w:pPr>
      <w:r>
        <w:t xml:space="preserve">4.1 Program Administrator / Competent Person</w:t>
      </w:r>
    </w:p>
    <w:p>
      <w:pPr>
        <w:pStyle w:val="ListParagraph"/>
        <w:numPr>
          <w:ilvl w:val="0"/>
          <w:numId w:val="2"/>
        </w:numPr>
        <w:spacing w:after="60"/>
      </w:pPr>
      <w:r>
        <w:t xml:space="preserve">Develop, implement, and maintain this written exposure control plan</w:t>
      </w:r>
    </w:p>
    <w:p>
      <w:pPr>
        <w:pStyle w:val="ListParagraph"/>
        <w:numPr>
          <w:ilvl w:val="0"/>
          <w:numId w:val="2"/>
        </w:numPr>
        <w:spacing w:after="60"/>
      </w:pPr>
      <w:r>
        <w:t xml:space="preserve">Conduct or arrange initial exposure assessments</w:t>
      </w:r>
    </w:p>
    <w:p>
      <w:pPr>
        <w:pStyle w:val="ListParagraph"/>
        <w:numPr>
          <w:ilvl w:val="0"/>
          <w:numId w:val="2"/>
        </w:numPr>
        <w:spacing w:after="60"/>
      </w:pPr>
      <w:r>
        <w:t xml:space="preserve">Select and implement engineering controls and work practices</w:t>
      </w:r>
    </w:p>
    <w:p>
      <w:pPr>
        <w:pStyle w:val="ListParagraph"/>
        <w:numPr>
          <w:ilvl w:val="0"/>
          <w:numId w:val="2"/>
        </w:numPr>
        <w:spacing w:after="60"/>
      </w:pPr>
      <w:r>
        <w:t xml:space="preserve">Ensure medical surveillance and biological monitoring are provided</w:t>
      </w:r>
    </w:p>
    <w:p>
      <w:pPr>
        <w:pStyle w:val="ListParagraph"/>
        <w:numPr>
          <w:ilvl w:val="0"/>
          <w:numId w:val="2"/>
        </w:numPr>
        <w:spacing w:after="60"/>
      </w:pPr>
      <w:r>
        <w:t xml:space="preserve">Manage the medical removal protection program</w:t>
      </w:r>
    </w:p>
    <w:p>
      <w:pPr>
        <w:pStyle w:val="ListParagraph"/>
        <w:numPr>
          <w:ilvl w:val="0"/>
          <w:numId w:val="2"/>
        </w:numPr>
        <w:spacing w:after="60"/>
      </w:pPr>
      <w:r>
        <w:t xml:space="preserve">Review and update this plan at least annually</w:t>
      </w:r>
    </w:p>
    <w:p>
      <w:pPr>
        <w:pStyle w:val="Heading2"/>
      </w:pPr>
      <w:r>
        <w:t xml:space="preserve">4.2 Supervisors</w:t>
      </w:r>
    </w:p>
    <w:p>
      <w:pPr>
        <w:pStyle w:val="ListParagraph"/>
        <w:numPr>
          <w:ilvl w:val="0"/>
          <w:numId w:val="2"/>
        </w:numPr>
        <w:spacing w:after="60"/>
      </w:pPr>
      <w:r>
        <w:t xml:space="preserve">Ensure employees follow the exposure control plan</w:t>
      </w:r>
    </w:p>
    <w:p>
      <w:pPr>
        <w:pStyle w:val="ListParagraph"/>
        <w:numPr>
          <w:ilvl w:val="0"/>
          <w:numId w:val="2"/>
        </w:numPr>
        <w:spacing w:after="60"/>
      </w:pPr>
      <w:r>
        <w:t xml:space="preserve">Enforce engineering controls, work practices, and PPE requirements</w:t>
      </w:r>
    </w:p>
    <w:p>
      <w:pPr>
        <w:pStyle w:val="ListParagraph"/>
        <w:numPr>
          <w:ilvl w:val="0"/>
          <w:numId w:val="2"/>
        </w:numPr>
        <w:spacing w:after="60"/>
      </w:pPr>
      <w:r>
        <w:t xml:space="preserve">Ensure hygiene facilities are available and used</w:t>
      </w:r>
    </w:p>
    <w:p>
      <w:pPr>
        <w:pStyle w:val="ListParagraph"/>
        <w:numPr>
          <w:ilvl w:val="0"/>
          <w:numId w:val="2"/>
        </w:numPr>
        <w:spacing w:after="60"/>
      </w:pPr>
      <w:r>
        <w:t xml:space="preserve">Identify lead-containing materials before starting work (paint surveys, XRF testing)</w:t>
      </w:r>
    </w:p>
    <w:p>
      <w:pPr>
        <w:pStyle w:val="Heading2"/>
      </w:pPr>
      <w:r>
        <w:t xml:space="preserve">4.3 Employees</w:t>
      </w:r>
    </w:p>
    <w:p>
      <w:pPr>
        <w:pStyle w:val="ListParagraph"/>
        <w:numPr>
          <w:ilvl w:val="0"/>
          <w:numId w:val="2"/>
        </w:numPr>
        <w:spacing w:after="60"/>
      </w:pPr>
      <w:r>
        <w:t xml:space="preserve">Follow all procedures in this exposure control plan</w:t>
      </w:r>
    </w:p>
    <w:p>
      <w:pPr>
        <w:pStyle w:val="ListParagraph"/>
        <w:numPr>
          <w:ilvl w:val="0"/>
          <w:numId w:val="2"/>
        </w:numPr>
        <w:spacing w:after="60"/>
      </w:pPr>
      <w:r>
        <w:t xml:space="preserve">Use required controls and PPE</w:t>
      </w:r>
    </w:p>
    <w:p>
      <w:pPr>
        <w:pStyle w:val="ListParagraph"/>
        <w:numPr>
          <w:ilvl w:val="0"/>
          <w:numId w:val="2"/>
        </w:numPr>
        <w:spacing w:after="60"/>
      </w:pPr>
      <w:r>
        <w:t xml:space="preserve">Participate in medical surveillance and blood lead level monitoring</w:t>
      </w:r>
    </w:p>
    <w:p>
      <w:pPr>
        <w:pStyle w:val="ListParagraph"/>
        <w:numPr>
          <w:ilvl w:val="0"/>
          <w:numId w:val="2"/>
        </w:numPr>
        <w:spacing w:after="60"/>
      </w:pPr>
      <w:r>
        <w:t xml:space="preserve">Report any symptoms of lead exposure to the supervisor</w:t>
      </w:r>
    </w:p>
    <w:p>
      <w:pPr>
        <w:pStyle w:val="ListParagraph"/>
        <w:numPr>
          <w:ilvl w:val="0"/>
          <w:numId w:val="2"/>
        </w:numPr>
        <w:spacing w:after="60"/>
      </w:pPr>
      <w:r>
        <w:t xml:space="preserve">Follow all hygiene requirements (handwashing, no eating/drinking/smoking in work areas)</w:t>
      </w:r>
    </w:p>
    <w:p>
      <w:r>
        <w:br w:type="page"/>
      </w:r>
    </w:p>
    <w:p>
      <w:pPr>
        <w:pStyle w:val="Heading1"/>
      </w:pPr>
      <w:r>
        <w:t xml:space="preserve">5. Exposure Assessment</w:t>
      </w:r>
    </w:p>
    <w:p>
      <w:pPr>
        <w:pStyle w:val="Heading2"/>
      </w:pPr>
      <w:r>
        <w:t xml:space="preserve">5.1 Initial Determination</w:t>
      </w:r>
    </w:p>
    <w:p>
      <w:pPr>
        <w:spacing w:after="120"/>
      </w:pPr>
      <w:r>
        <w:t xml:space="preserve">The employer shall conduct an initial determination of employee exposure for each job task or work operation where lead exposure may occur. The initial determination shall be based on:</w:t>
      </w:r>
    </w:p>
    <w:p>
      <w:pPr>
        <w:pStyle w:val="ListParagraph"/>
        <w:numPr>
          <w:ilvl w:val="0"/>
          <w:numId w:val="2"/>
        </w:numPr>
        <w:spacing w:after="60"/>
      </w:pPr>
      <w:r>
        <w:t xml:space="preserve">Industry-wide objective data (when available and representative)</w:t>
      </w:r>
    </w:p>
    <w:p>
      <w:pPr>
        <w:pStyle w:val="ListParagraph"/>
        <w:numPr>
          <w:ilvl w:val="0"/>
          <w:numId w:val="2"/>
        </w:numPr>
        <w:spacing w:after="60"/>
      </w:pPr>
      <w:r>
        <w:t xml:space="preserve">Personal air monitoring (full-shift 8-hour TWA sampling)</w:t>
      </w:r>
    </w:p>
    <w:p>
      <w:pPr>
        <w:pStyle w:val="ListParagraph"/>
        <w:numPr>
          <w:ilvl w:val="0"/>
          <w:numId w:val="2"/>
        </w:numPr>
        <w:spacing w:after="60"/>
      </w:pPr>
      <w:r>
        <w:t xml:space="preserve">Historical monitoring data from similar operations</w:t>
      </w:r>
    </w:p>
    <w:p>
      <w:pPr>
        <w:pStyle w:val="Heading2"/>
      </w:pPr>
      <w:r>
        <w:t xml:space="preserve">5.2 Interim Protection</w:t>
      </w:r>
    </w:p>
    <w:p>
      <w:pPr>
        <w:spacing w:after="120"/>
      </w:pPr>
      <w:r>
        <w:t xml:space="preserve">Until the initial determination is completed, employees performing the following tasks shall be provided interim protection including respiratory protection and protective clothing: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2500"/>
        <w:gridCol w:w="3660"/>
      </w:tblGrid>
      <w:tr>
        <w:trPr>
          <w:tblHeader/>
        </w:trP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Task/Activity</w:t>
            </w:r>
          </w:p>
        </w:tc>
        <w:tc>
          <w:tcPr>
            <w:tcW w:type="dxa" w:w="2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Assumed Exposure Level</w:t>
            </w:r>
          </w:p>
        </w:tc>
        <w:tc>
          <w:tcPr>
            <w:tcW w:type="dxa" w:w="36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Interim Protection</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Manual demolition of lead-painted structures</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&gt; 50 µg/m³ (above PEL)</w:t>
            </w:r>
          </w:p>
        </w:tc>
        <w:tc>
          <w:tcPr>
            <w:tcW w:type="dxa" w:w="36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Half-face APR with P100, protective clothing, hygiene facilities</w:t>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Cutting/burning lead-painted steel</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&gt; 500 µg/m³</w:t>
            </w:r>
          </w:p>
        </w:tc>
        <w:tc>
          <w:tcPr>
            <w:tcW w:type="dxa" w:w="36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Full-face APR with P100 or PAPR, full protective clothing</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Abrasive blasting of lead-painted surfaces</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&gt; 2,500 µg/m³</w:t>
            </w:r>
          </w:p>
        </w:tc>
        <w:tc>
          <w:tcPr>
            <w:tcW w:type="dxa" w:w="36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Type CE supplied-air blasting hood, full containment</w:t>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Torch cutting lead pipe</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&gt; 500 µg/m³</w:t>
            </w:r>
          </w:p>
        </w:tc>
        <w:tc>
          <w:tcPr>
            <w:tcW w:type="dxa" w:w="36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Full-face APR with P100, full protective clothing</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Lead-based paint removal (heat gun)</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&gt; 50 µg/m³</w:t>
            </w:r>
          </w:p>
        </w:tc>
        <w:tc>
          <w:tcPr>
            <w:tcW w:type="dxa" w:w="36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Half-face APR with P100, protective clothing</w:t>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Bridge scraping/sanding lead paint</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&gt; 50 µg/m³</w:t>
            </w:r>
          </w:p>
        </w:tc>
        <w:tc>
          <w:tcPr>
            <w:tcW w:type="dxa" w:w="36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Half-face APR with P100, protective clothing</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Operating lead-contaminated equipment</w:t>
            </w:r>
          </w:p>
        </w:tc>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&gt; 30 µg/m³ (above AL)</w:t>
            </w:r>
          </w:p>
        </w:tc>
        <w:tc>
          <w:tcPr>
            <w:tcW w:type="dxa" w:w="36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N95 minimum, protective clothing</w:t>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Cleanup of lead-contaminated debris</w:t>
            </w:r>
          </w:p>
        </w:tc>
        <w:tc>
          <w:tcPr>
            <w:tcW w:type="dxa" w:w="2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&gt; 30 µg/m³</w:t>
            </w:r>
          </w:p>
        </w:tc>
        <w:tc>
          <w:tcPr>
            <w:tcW w:type="dxa" w:w="36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Half-face APR with P100, protective clothing</w:t>
            </w:r>
          </w:p>
        </w:tc>
      </w:tr>
    </w:tbl>
    <w:p>
      <w:pPr>
        <w:pStyle w:val="Heading2"/>
      </w:pPr>
      <w:r>
        <w:t xml:space="preserve">5.3 Monitoring Frequency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Monitoring Result</w:t>
            </w:r>
          </w:p>
        </w:tc>
        <w:tc>
          <w:tcPr>
            <w:tcW w:type="dxa" w:w="5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Action Required</w:t>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Below Action Level (&lt; 30 µg/m³)</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 further monitoring required unless conditions change</w:t>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At or above AL, below PEL (30–50 µg/m³)</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Repeat monitoring every 6 months</w:t>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At or above PEL (≥ 50 µg/m³)</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Repeat monitoring every 3 months; implement additional controls</w:t>
            </w:r>
          </w:p>
        </w:tc>
      </w:tr>
    </w:tbl>
    <w:p>
      <w:pPr>
        <w:spacing w:after="0"/>
      </w:pPr>
    </w:p>
    <w:p>
      <w:pPr>
        <w:spacing w:after="120"/>
      </w:pPr>
      <w:r>
        <w:t xml:space="preserve">Employees shall be notified in writing of monitoring results within 5 working days of receipt of results.</w:t>
      </w:r>
    </w:p>
    <w:p>
      <w:r>
        <w:br w:type="page"/>
      </w:r>
    </w:p>
    <w:p>
      <w:pPr>
        <w:pStyle w:val="Heading1"/>
      </w:pPr>
      <w:r>
        <w:t xml:space="preserve">6. Common Lead Exposure Tasks in Construction</w:t>
      </w:r>
    </w:p>
    <w:p>
      <w:pPr>
        <w:spacing w:after="120"/>
      </w:pPr>
      <w:r>
        <w:t xml:space="preserve">The following construction activities commonly result in lead exposure and shall be evaluated under this plan:</w:t>
      </w:r>
    </w:p>
    <w:p>
      <w:pPr>
        <w:pStyle w:val="ListParagraph"/>
        <w:numPr>
          <w:ilvl w:val="0"/>
          <w:numId w:val="2"/>
        </w:numPr>
        <w:spacing w:after="60"/>
      </w:pPr>
      <w:r>
        <w:t xml:space="preserve">Demolition or salvage of structures with lead-containing materials</w:t>
      </w:r>
    </w:p>
    <w:p>
      <w:pPr>
        <w:pStyle w:val="ListParagraph"/>
        <w:numPr>
          <w:ilvl w:val="0"/>
          <w:numId w:val="2"/>
        </w:numPr>
        <w:spacing w:after="60"/>
      </w:pPr>
      <w:r>
        <w:t xml:space="preserve">Removal or encapsulation of lead-containing materials</w:t>
      </w:r>
    </w:p>
    <w:p>
      <w:pPr>
        <w:pStyle w:val="ListParagraph"/>
        <w:numPr>
          <w:ilvl w:val="0"/>
          <w:numId w:val="2"/>
        </w:numPr>
        <w:spacing w:after="60"/>
      </w:pPr>
      <w:r>
        <w:t xml:space="preserve">Renovation, remodeling, or abrasion of surfaces with lead-based paint</w:t>
      </w:r>
    </w:p>
    <w:p>
      <w:pPr>
        <w:pStyle w:val="ListParagraph"/>
        <w:numPr>
          <w:ilvl w:val="0"/>
          <w:numId w:val="2"/>
        </w:numPr>
        <w:spacing w:after="60"/>
      </w:pPr>
      <w:r>
        <w:t xml:space="preserve">Cutting, burning, or welding on lead-painted steel (bridges, structural steel, tanks)</w:t>
      </w:r>
    </w:p>
    <w:p>
      <w:pPr>
        <w:pStyle w:val="ListParagraph"/>
        <w:numPr>
          <w:ilvl w:val="0"/>
          <w:numId w:val="2"/>
        </w:numPr>
        <w:spacing w:after="60"/>
      </w:pPr>
      <w:r>
        <w:t xml:space="preserve">Abrasive blasting of lead-painted surfaces</w:t>
      </w:r>
    </w:p>
    <w:p>
      <w:pPr>
        <w:pStyle w:val="ListParagraph"/>
        <w:numPr>
          <w:ilvl w:val="0"/>
          <w:numId w:val="2"/>
        </w:numPr>
        <w:spacing w:after="60"/>
      </w:pPr>
      <w:r>
        <w:t xml:space="preserve">Lead pipe installation, repair, or removal</w:t>
      </w:r>
    </w:p>
    <w:p>
      <w:pPr>
        <w:pStyle w:val="ListParagraph"/>
        <w:numPr>
          <w:ilvl w:val="0"/>
          <w:numId w:val="2"/>
        </w:numPr>
        <w:spacing w:after="60"/>
      </w:pPr>
      <w:r>
        <w:t xml:space="preserve">Application and removal of lead-based paints and coatings</w:t>
      </w:r>
    </w:p>
    <w:p>
      <w:pPr>
        <w:pStyle w:val="ListParagraph"/>
        <w:numPr>
          <w:ilvl w:val="0"/>
          <w:numId w:val="2"/>
        </w:numPr>
        <w:spacing w:after="60"/>
      </w:pPr>
      <w:r>
        <w:t xml:space="preserve">Transportation, storage, and disposal of lead-containing waste</w:t>
      </w:r>
    </w:p>
    <w:p>
      <w:pPr>
        <w:pStyle w:val="ListParagraph"/>
        <w:numPr>
          <w:ilvl w:val="0"/>
          <w:numId w:val="2"/>
        </w:numPr>
        <w:spacing w:after="60"/>
      </w:pPr>
      <w:r>
        <w:t xml:space="preserve">Maintenance or cleanup of lead-contaminated areas</w:t>
      </w:r>
    </w:p>
    <w:p>
      <w:pPr>
        <w:pStyle w:val="ListParagraph"/>
        <w:numPr>
          <w:ilvl w:val="0"/>
          <w:numId w:val="2"/>
        </w:numPr>
        <w:spacing w:after="60"/>
      </w:pPr>
      <w:r>
        <w:t xml:space="preserve">Bridge work: scraping, sanding, torch cutting, welding on painted steel</w:t>
      </w:r>
    </w:p>
    <w:p>
      <w:pPr>
        <w:pStyle w:val="Heading1"/>
      </w:pPr>
      <w:r>
        <w:t xml:space="preserve">7. Engineering Controls</w:t>
      </w:r>
    </w:p>
    <w:p>
      <w:pPr>
        <w:spacing w:after="120"/>
      </w:pPr>
      <w:r>
        <w:t xml:space="preserve">[COMPANY NAME] shall implement engineering controls as the primary means of reducing lead exposure:</w:t>
      </w:r>
    </w:p>
    <w:p>
      <w:pPr>
        <w:pStyle w:val="ListParagraph"/>
        <w:numPr>
          <w:ilvl w:val="0"/>
          <w:numId w:val="2"/>
        </w:numPr>
        <w:spacing w:after="60"/>
      </w:pPr>
      <w:r>
        <w:t xml:space="preserve">Local exhaust ventilation (LEV) at the point of dust/fume generation</w:t>
      </w:r>
    </w:p>
    <w:p>
      <w:pPr>
        <w:pStyle w:val="ListParagraph"/>
        <w:numPr>
          <w:ilvl w:val="0"/>
          <w:numId w:val="2"/>
        </w:numPr>
        <w:spacing w:after="60"/>
      </w:pPr>
      <w:r>
        <w:t xml:space="preserve">HEPA-filtered vacuum systems for cleanup and surface preparation</w:t>
      </w:r>
    </w:p>
    <w:p>
      <w:pPr>
        <w:pStyle w:val="ListParagraph"/>
        <w:numPr>
          <w:ilvl w:val="0"/>
          <w:numId w:val="2"/>
        </w:numPr>
        <w:spacing w:after="60"/>
      </w:pPr>
      <w:r>
        <w:t xml:space="preserve">Enclosed containment systems for abrasive blasting operations</w:t>
      </w:r>
    </w:p>
    <w:p>
      <w:pPr>
        <w:pStyle w:val="ListParagraph"/>
        <w:numPr>
          <w:ilvl w:val="0"/>
          <w:numId w:val="2"/>
        </w:numPr>
        <w:spacing w:after="60"/>
      </w:pPr>
      <w:r>
        <w:t xml:space="preserve">Wet methods to suppress dust during demolition and surface preparation</w:t>
      </w:r>
    </w:p>
    <w:p>
      <w:pPr>
        <w:pStyle w:val="ListParagraph"/>
        <w:numPr>
          <w:ilvl w:val="0"/>
          <w:numId w:val="2"/>
        </w:numPr>
        <w:spacing w:after="60"/>
      </w:pPr>
      <w:r>
        <w:t xml:space="preserve">Substitution of lead-free materials where feasible</w:t>
      </w:r>
    </w:p>
    <w:p>
      <w:pPr>
        <w:pStyle w:val="ListParagraph"/>
        <w:numPr>
          <w:ilvl w:val="0"/>
          <w:numId w:val="2"/>
        </w:numPr>
        <w:spacing w:after="60"/>
      </w:pPr>
      <w:r>
        <w:t xml:space="preserve">Isolation of lead work from other operations (regulated areas, barriers, negative pressure enclosures)</w:t>
      </w:r>
    </w:p>
    <w:p>
      <w:pPr>
        <w:pStyle w:val="ListParagraph"/>
        <w:numPr>
          <w:ilvl w:val="0"/>
          <w:numId w:val="2"/>
        </w:numPr>
        <w:spacing w:after="60"/>
      </w:pPr>
      <w:r>
        <w:t xml:space="preserve">HEPA-filtered negative pressure enclosures for interior work</w:t>
      </w:r>
    </w:p>
    <w:p>
      <w:pPr>
        <w:spacing w:after="0"/>
      </w:pPr>
    </w:p>
    <w:p>
      <w:pPr>
        <w:spacing w:after="120"/>
      </w:pPr>
      <w:r>
        <w:t xml:space="preserve">Engineering controls shall be used to the maximum feasible extent. Where engineering controls alone are insufficient to reduce exposure below the PEL, they shall be supplemented with respiratory protection.</w:t>
      </w:r>
    </w:p>
    <w:p>
      <w:pPr>
        <w:pStyle w:val="Heading1"/>
      </w:pPr>
      <w:r>
        <w:t xml:space="preserve">8. Respiratory Protection</w:t>
      </w:r>
    </w:p>
    <w:p>
      <w:pPr>
        <w:spacing w:after="120"/>
      </w:pPr>
      <w:r>
        <w:t xml:space="preserve">Respiratory protection shall be provided in accordance with the [COMPANY NAME] Respiratory Protection Program and 29 CFR 1926.103/1910.134:</w:t>
      </w:r>
    </w:p>
    <w:p>
      <w:pPr>
        <w:pStyle w:val="Heading2"/>
      </w:pPr>
      <w:r>
        <w:t xml:space="preserve">8.1 Respirator Selection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4000"/>
        <w:gridCol w:w="2160"/>
      </w:tblGrid>
      <w:tr>
        <w:trPr>
          <w:tblHeader/>
        </w:trP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Airborne Lead Concentration</w:t>
            </w:r>
          </w:p>
        </w:tc>
        <w:tc>
          <w:tcPr>
            <w:tcW w:type="dxa" w:w="4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Minimum Respirator</w:t>
            </w:r>
          </w:p>
        </w:tc>
        <w:tc>
          <w:tcPr>
            <w:tcW w:type="dxa" w:w="2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APF</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500 µg/m³ (10x PEL)</w:t>
            </w:r>
          </w:p>
        </w:tc>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Half-face APR with P100 filters (HEPA)</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1,250 µg/m³ (25x PEL)</w:t>
            </w:r>
          </w:p>
        </w:tc>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PAPR with HEPA filters</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25</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2,500 µg/m³ (50x PEL)</w:t>
            </w:r>
          </w:p>
        </w:tc>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Full-face APR with P100 filters</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50</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50,000 µg/m³ (1,000x PEL)</w:t>
            </w:r>
          </w:p>
        </w:tc>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Full-face PAPR or SAR (continuous flow)</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1,000</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&gt; 50,000 µg/m³</w:t>
            </w:r>
          </w:p>
        </w:tc>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Full-face pressure-demand SAR with auxiliary SCBA</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10,000</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Abrasive blasting</w:t>
            </w:r>
          </w:p>
        </w:tc>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Type CE supplied-air hood</w:t>
            </w:r>
          </w:p>
        </w:tc>
        <w:tc>
          <w:tcPr>
            <w:tcW w:type="dxa" w:w="21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25 (minimum)</w:t>
            </w:r>
          </w:p>
        </w:tc>
      </w:tr>
    </w:tbl>
    <w:p>
      <w:pPr>
        <w:spacing w:after="0"/>
      </w:pPr>
    </w:p>
    <w:p>
      <w:pPr>
        <w:spacing w:after="120"/>
      </w:pPr>
      <w:r>
        <w:t xml:space="preserve">All employees using tight-fitting respirators shall be fit-tested initially and at least annually. A user seal check shall be performed each time a respirator is donned.</w:t>
      </w:r>
    </w:p>
    <w:p>
      <w:pPr>
        <w:pStyle w:val="Heading1"/>
      </w:pPr>
      <w:r>
        <w:t xml:space="preserve">9. Protective Clothing and Hygiene Facilities</w:t>
      </w:r>
    </w:p>
    <w:p>
      <w:pPr>
        <w:pStyle w:val="Heading2"/>
      </w:pPr>
      <w:r>
        <w:t xml:space="preserve">9.1 Protective Clothing</w:t>
      </w:r>
    </w:p>
    <w:p>
      <w:pPr>
        <w:spacing w:after="120"/>
      </w:pPr>
      <w:r>
        <w:t xml:space="preserve">When exposure exceeds the PEL, [COMPANY NAME] shall provide at no cost:</w:t>
      </w:r>
    </w:p>
    <w:p>
      <w:pPr>
        <w:pStyle w:val="ListParagraph"/>
        <w:numPr>
          <w:ilvl w:val="0"/>
          <w:numId w:val="2"/>
        </w:numPr>
        <w:spacing w:after="60"/>
      </w:pPr>
      <w:r>
        <w:t xml:space="preserve">Disposable or washable protective coveralls or similar full-body clothing</w:t>
      </w:r>
    </w:p>
    <w:p>
      <w:pPr>
        <w:pStyle w:val="ListParagraph"/>
        <w:numPr>
          <w:ilvl w:val="0"/>
          <w:numId w:val="2"/>
        </w:numPr>
        <w:spacing w:after="60"/>
      </w:pPr>
      <w:r>
        <w:t xml:space="preserve">Gloves, hats, shoe covers, and face/eye protection as appropriate</w:t>
      </w:r>
    </w:p>
    <w:p>
      <w:pPr>
        <w:pStyle w:val="ListParagraph"/>
        <w:numPr>
          <w:ilvl w:val="0"/>
          <w:numId w:val="2"/>
        </w:numPr>
        <w:spacing w:after="60"/>
      </w:pPr>
      <w:r>
        <w:t xml:space="preserve">Protective clothing shall be cleaned, laundered, or disposed of by the employer</w:t>
      </w:r>
    </w:p>
    <w:p>
      <w:pPr>
        <w:pStyle w:val="ListParagraph"/>
        <w:numPr>
          <w:ilvl w:val="0"/>
          <w:numId w:val="2"/>
        </w:numPr>
        <w:spacing w:after="60"/>
      </w:pPr>
      <w:r>
        <w:t xml:space="preserve">Employees shall not take lead-contaminated clothing home</w:t>
      </w:r>
    </w:p>
    <w:p>
      <w:pPr>
        <w:pStyle w:val="Heading2"/>
      </w:pPr>
      <w:r>
        <w:t xml:space="preserve">9.2 Hygiene Facilities</w:t>
      </w:r>
    </w:p>
    <w:p>
      <w:pPr>
        <w:spacing w:after="120"/>
      </w:pPr>
      <w:r>
        <w:t xml:space="preserve">The following facilities shall be provided when employees are exposed above the PEL:</w:t>
      </w:r>
    </w:p>
    <w:p>
      <w:pPr>
        <w:pStyle w:val="ListParagraph"/>
        <w:numPr>
          <w:ilvl w:val="0"/>
          <w:numId w:val="2"/>
        </w:numPr>
        <w:spacing w:after="60"/>
      </w:pPr>
      <w:r>
        <w:t xml:space="preserve">Change rooms — with separate clean and dirty lockers/storage for street clothes and work clothes</w:t>
      </w:r>
    </w:p>
    <w:p>
      <w:pPr>
        <w:pStyle w:val="ListParagraph"/>
        <w:numPr>
          <w:ilvl w:val="0"/>
          <w:numId w:val="2"/>
        </w:numPr>
        <w:spacing w:after="60"/>
      </w:pPr>
      <w:r>
        <w:t xml:space="preserve">Showers — available for employees exposed above the PEL (mandatory at end of shift)</w:t>
      </w:r>
    </w:p>
    <w:p>
      <w:pPr>
        <w:pStyle w:val="ListParagraph"/>
        <w:numPr>
          <w:ilvl w:val="0"/>
          <w:numId w:val="2"/>
        </w:numPr>
        <w:spacing w:after="60"/>
      </w:pPr>
      <w:r>
        <w:t xml:space="preserve">Hand washing facilities — available at all work areas with lead exposure</w:t>
      </w:r>
    </w:p>
    <w:p>
      <w:pPr>
        <w:pStyle w:val="ListParagraph"/>
        <w:numPr>
          <w:ilvl w:val="0"/>
          <w:numId w:val="2"/>
        </w:numPr>
        <w:spacing w:after="60"/>
      </w:pPr>
      <w:r>
        <w:t xml:space="preserve">Lunch areas — clean, properly maintained areas where employees can eat and drink</w:t>
      </w:r>
    </w:p>
    <w:p>
      <w:pPr>
        <w:spacing w:after="0"/>
      </w:pPr>
    </w:p>
    <w:p>
      <w:pPr>
        <w:spacing w:after="120"/>
      </w:pPr>
      <w:r>
        <w:rPr>
          <w:b/>
          <w:bCs/>
        </w:rPr>
        <w:t xml:space="preserve">PROHIBITED in work areas:</w:t>
      </w:r>
    </w:p>
    <w:p>
      <w:pPr>
        <w:pStyle w:val="ListParagraph"/>
        <w:numPr>
          <w:ilvl w:val="0"/>
          <w:numId w:val="2"/>
        </w:numPr>
        <w:spacing w:after="60"/>
      </w:pPr>
      <w:r>
        <w:t xml:space="preserve">No eating, drinking, smoking, chewing tobacco, or applying cosmetics in lead work areas</w:t>
      </w:r>
    </w:p>
    <w:p>
      <w:pPr>
        <w:pStyle w:val="ListParagraph"/>
        <w:numPr>
          <w:ilvl w:val="0"/>
          <w:numId w:val="2"/>
        </w:numPr>
        <w:spacing w:after="60"/>
      </w:pPr>
      <w:r>
        <w:t xml:space="preserve">No storage of food, beverages, or tobacco products in lead work areas</w:t>
      </w:r>
    </w:p>
    <w:p>
      <w:r>
        <w:br w:type="page"/>
      </w:r>
    </w:p>
    <w:p>
      <w:pPr>
        <w:pStyle w:val="Heading1"/>
      </w:pPr>
      <w:r>
        <w:t xml:space="preserve">10. Medical Surveillance</w:t>
      </w:r>
    </w:p>
    <w:p>
      <w:pPr>
        <w:spacing w:after="120"/>
      </w:pPr>
      <w:r>
        <w:t xml:space="preserve">Medical surveillance shall be provided to employees exposed to airborne lead at or above the action level (30 µg/m³) for more than 30 days per year.</w:t>
      </w:r>
    </w:p>
    <w:p>
      <w:pPr>
        <w:pStyle w:val="Heading2"/>
      </w:pPr>
      <w:r>
        <w:t xml:space="preserve">10.1 Blood Lead Level (BLL) Monitoring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4860"/>
      </w:tblGrid>
      <w:tr>
        <w:trPr>
          <w:tblHeader/>
        </w:trPr>
        <w:tc>
          <w:tcPr>
            <w:tcW w:type="dxa" w:w="4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Trigger</w:t>
            </w:r>
          </w:p>
        </w:tc>
        <w:tc>
          <w:tcPr>
            <w:tcW w:type="dxa" w:w="48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Frequency</w:t>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Initial BLL</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Before first exposure or upon assignment</w:t>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Routine BLL (exposure ≥ AL)</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Every 2 months for the first 6 months, then every 6 months</w:t>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BLL at or above 40 µg/dL</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Every 2 months until two consecutive BLLs below 40 µg/dL</w:t>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Medical removal (BLL ≥ 50 µg/dL)</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Monthly until BLL &lt; 40 µg/dL on two consecutive tests</w:t>
            </w:r>
          </w:p>
        </w:tc>
      </w:tr>
    </w:tbl>
    <w:p>
      <w:pPr>
        <w:pStyle w:val="Heading2"/>
      </w:pPr>
      <w:r>
        <w:t xml:space="preserve">10.2 Medical Examinations</w:t>
      </w:r>
    </w:p>
    <w:p>
      <w:pPr>
        <w:spacing w:after="120"/>
      </w:pPr>
      <w:r>
        <w:t xml:space="preserve">Comprehensive medical examinations shall be made available:</w:t>
      </w:r>
    </w:p>
    <w:p>
      <w:pPr>
        <w:pStyle w:val="ListParagraph"/>
        <w:numPr>
          <w:ilvl w:val="0"/>
          <w:numId w:val="2"/>
        </w:numPr>
        <w:spacing w:after="60"/>
      </w:pPr>
      <w:r>
        <w:t xml:space="preserve">Initial examination (before assignment or upon first exceeding AL for &gt;30 days/year)</w:t>
      </w:r>
    </w:p>
    <w:p>
      <w:pPr>
        <w:pStyle w:val="ListParagraph"/>
        <w:numPr>
          <w:ilvl w:val="0"/>
          <w:numId w:val="2"/>
        </w:numPr>
        <w:spacing w:after="60"/>
      </w:pPr>
      <w:r>
        <w:t xml:space="preserve">Annually thereafter for employees whose BLL exceeds the AL</w:t>
      </w:r>
    </w:p>
    <w:p>
      <w:pPr>
        <w:pStyle w:val="ListParagraph"/>
        <w:numPr>
          <w:ilvl w:val="0"/>
          <w:numId w:val="2"/>
        </w:numPr>
        <w:spacing w:after="60"/>
      </w:pPr>
      <w:r>
        <w:t xml:space="preserve">As soon as possible if employee develops signs/symptoms of lead toxicity</w:t>
      </w:r>
    </w:p>
    <w:p>
      <w:pPr>
        <w:pStyle w:val="ListParagraph"/>
        <w:numPr>
          <w:ilvl w:val="0"/>
          <w:numId w:val="2"/>
        </w:numPr>
        <w:spacing w:after="60"/>
      </w:pPr>
      <w:r>
        <w:t xml:space="preserve">As recommended by the examining physician</w:t>
      </w:r>
    </w:p>
    <w:p>
      <w:pPr>
        <w:spacing w:after="0"/>
      </w:pPr>
    </w:p>
    <w:p>
      <w:pPr>
        <w:spacing w:after="120"/>
      </w:pPr>
      <w:r>
        <w:t xml:space="preserve">Examinations shall include: detailed work and medical history, blood pressure, BLL, ZPP (zinc protoporphyrin), complete blood count, BUN, creatinine, urinalysis, and any other tests deemed necessary.</w:t>
      </w:r>
    </w:p>
    <w:p>
      <w:pPr>
        <w:pStyle w:val="Heading2"/>
      </w:pPr>
      <w:r>
        <w:t xml:space="preserve">10.3 Medical Removal</w:t>
      </w:r>
    </w:p>
    <w:p>
      <w:pPr>
        <w:spacing w:after="120"/>
      </w:pPr>
      <w:r>
        <w:t xml:space="preserve">An employee shall be removed from lead exposure when:</w:t>
      </w:r>
    </w:p>
    <w:p>
      <w:pPr>
        <w:pStyle w:val="ListParagraph"/>
        <w:numPr>
          <w:ilvl w:val="0"/>
          <w:numId w:val="2"/>
        </w:numPr>
        <w:spacing w:after="60"/>
      </w:pPr>
      <w:r>
        <w:t xml:space="preserve">Blood lead level reaches 50 µg/dL (single test) — TRIGGER FOR MEDICAL REMOVAL</w:t>
      </w:r>
    </w:p>
    <w:p>
      <w:pPr>
        <w:pStyle w:val="ListParagraph"/>
        <w:numPr>
          <w:ilvl w:val="0"/>
          <w:numId w:val="2"/>
        </w:numPr>
        <w:spacing w:after="60"/>
      </w:pPr>
      <w:r>
        <w:t xml:space="preserve">A final medical determination recommends removal</w:t>
      </w:r>
    </w:p>
    <w:p>
      <w:pPr>
        <w:spacing w:after="0"/>
      </w:pPr>
    </w:p>
    <w:p>
      <w:pPr>
        <w:spacing w:after="120"/>
      </w:pPr>
      <w:r>
        <w:t xml:space="preserve">The employee shall be returned to their normal job status when the blood lead level falls below 40 µg/dL on two consecutive tests taken at least one month apart.</w:t>
      </w:r>
    </w:p>
    <w:p>
      <w:pPr>
        <w:pStyle w:val="Heading2"/>
      </w:pPr>
      <w:r>
        <w:t xml:space="preserve">10.4 Medical Removal Protection (MRP)</w:t>
      </w:r>
    </w:p>
    <w:p>
      <w:pPr>
        <w:spacing w:after="120"/>
      </w:pPr>
      <w:r>
        <w:t xml:space="preserve">During medical removal, the employer shall maintain the employee's earnings, seniority, and other employment rights and benefits for up to 18 months as though the employee had not been removed.</w:t>
      </w:r>
    </w:p>
    <w:p>
      <w:pPr>
        <w:pStyle w:val="Heading1"/>
      </w:pPr>
      <w:r>
        <w:t xml:space="preserve">11. Employee Notification</w:t>
      </w:r>
    </w:p>
    <w:p>
      <w:pPr>
        <w:spacing w:after="120"/>
      </w:pPr>
      <w:r>
        <w:t xml:space="preserve">Employees shall be notified of:</w:t>
      </w:r>
    </w:p>
    <w:p>
      <w:pPr>
        <w:pStyle w:val="ListParagraph"/>
        <w:numPr>
          <w:ilvl w:val="0"/>
          <w:numId w:val="2"/>
        </w:numPr>
        <w:spacing w:after="60"/>
      </w:pPr>
      <w:r>
        <w:t xml:space="preserve">Air monitoring results — within 5 working days of receipt</w:t>
      </w:r>
    </w:p>
    <w:p>
      <w:pPr>
        <w:pStyle w:val="ListParagraph"/>
        <w:numPr>
          <w:ilvl w:val="0"/>
          <w:numId w:val="2"/>
        </w:numPr>
        <w:spacing w:after="60"/>
      </w:pPr>
      <w:r>
        <w:t xml:space="preserve">Blood lead level results — within 5 working days of receipt</w:t>
      </w:r>
    </w:p>
    <w:p>
      <w:pPr>
        <w:pStyle w:val="ListParagraph"/>
        <w:numPr>
          <w:ilvl w:val="0"/>
          <w:numId w:val="2"/>
        </w:numPr>
        <w:spacing w:after="60"/>
      </w:pPr>
      <w:r>
        <w:t xml:space="preserve">Physician's written medical opinion — provided to both employer and employee</w:t>
      </w:r>
    </w:p>
    <w:p>
      <w:pPr>
        <w:pStyle w:val="ListParagraph"/>
        <w:numPr>
          <w:ilvl w:val="0"/>
          <w:numId w:val="2"/>
        </w:numPr>
        <w:spacing w:after="60"/>
      </w:pPr>
      <w:r>
        <w:t xml:space="preserve">The contents of 29 CFR 1926.62, including Appendices A and B</w:t>
      </w:r>
    </w:p>
    <w:p>
      <w:pPr>
        <w:pStyle w:val="ListParagraph"/>
        <w:numPr>
          <w:ilvl w:val="0"/>
          <w:numId w:val="2"/>
        </w:numPr>
        <w:spacing w:after="60"/>
      </w:pPr>
      <w:r>
        <w:t xml:space="preserve">Their rights under the lead standard, including access to medical records</w:t>
      </w:r>
    </w:p>
    <w:p>
      <w:pPr>
        <w:pStyle w:val="Heading1"/>
      </w:pPr>
      <w:r>
        <w:t xml:space="preserve">12. Training</w:t>
      </w:r>
    </w:p>
    <w:p>
      <w:pPr>
        <w:spacing w:after="120"/>
      </w:pPr>
      <w:r>
        <w:t xml:space="preserve">All employees exposed to lead at or above the action level, or who may be exposed to lead during their duties, shall receive training before initial assignment and at least annually thereafter. Training shall cover:</w:t>
      </w:r>
    </w:p>
    <w:p>
      <w:pPr>
        <w:pStyle w:val="ListParagraph"/>
        <w:numPr>
          <w:ilvl w:val="0"/>
          <w:numId w:val="2"/>
        </w:numPr>
        <w:spacing w:after="60"/>
      </w:pPr>
      <w:r>
        <w:t xml:space="preserve">The specific nature of lead work operations that could result in exposure</w:t>
      </w:r>
    </w:p>
    <w:p>
      <w:pPr>
        <w:pStyle w:val="ListParagraph"/>
        <w:numPr>
          <w:ilvl w:val="0"/>
          <w:numId w:val="2"/>
        </w:numPr>
        <w:spacing w:after="60"/>
      </w:pPr>
      <w:r>
        <w:t xml:space="preserve">The health effects of lead exposure (acute and chronic)</w:t>
      </w:r>
    </w:p>
    <w:p>
      <w:pPr>
        <w:pStyle w:val="ListParagraph"/>
        <w:numPr>
          <w:ilvl w:val="0"/>
          <w:numId w:val="2"/>
        </w:numPr>
        <w:spacing w:after="60"/>
      </w:pPr>
      <w:r>
        <w:t xml:space="preserve">This written exposure control plan and its contents</w:t>
      </w:r>
    </w:p>
    <w:p>
      <w:pPr>
        <w:pStyle w:val="ListParagraph"/>
        <w:numPr>
          <w:ilvl w:val="0"/>
          <w:numId w:val="2"/>
        </w:numPr>
        <w:spacing w:after="60"/>
      </w:pPr>
      <w:r>
        <w:t xml:space="preserve">The purpose, selection, fitting, use, and limitations of respiratory protection</w:t>
      </w:r>
    </w:p>
    <w:p>
      <w:pPr>
        <w:pStyle w:val="ListParagraph"/>
        <w:numPr>
          <w:ilvl w:val="0"/>
          <w:numId w:val="2"/>
        </w:numPr>
        <w:spacing w:after="60"/>
      </w:pPr>
      <w:r>
        <w:t xml:space="preserve">Engineering controls, work practices, and their proper use</w:t>
      </w:r>
    </w:p>
    <w:p>
      <w:pPr>
        <w:pStyle w:val="ListParagraph"/>
        <w:numPr>
          <w:ilvl w:val="0"/>
          <w:numId w:val="2"/>
        </w:numPr>
        <w:spacing w:after="60"/>
      </w:pPr>
      <w:r>
        <w:t xml:space="preserve">Hygiene requirements: handwashing, no eating/drinking/smoking in work areas</w:t>
      </w:r>
    </w:p>
    <w:p>
      <w:pPr>
        <w:pStyle w:val="ListParagraph"/>
        <w:numPr>
          <w:ilvl w:val="0"/>
          <w:numId w:val="2"/>
        </w:numPr>
        <w:spacing w:after="60"/>
      </w:pPr>
      <w:r>
        <w:t xml:space="preserve">The medical surveillance program including BLL monitoring</w:t>
      </w:r>
    </w:p>
    <w:p>
      <w:pPr>
        <w:pStyle w:val="ListParagraph"/>
        <w:numPr>
          <w:ilvl w:val="0"/>
          <w:numId w:val="2"/>
        </w:numPr>
        <w:spacing w:after="60"/>
      </w:pPr>
      <w:r>
        <w:t xml:space="preserve">Medical removal protection rights</w:t>
      </w:r>
    </w:p>
    <w:p>
      <w:pPr>
        <w:pStyle w:val="ListParagraph"/>
        <w:numPr>
          <w:ilvl w:val="0"/>
          <w:numId w:val="2"/>
        </w:numPr>
        <w:spacing w:after="60"/>
      </w:pPr>
      <w:r>
        <w:t xml:space="preserve">Employee rights under 29 CFR 1926.62</w:t>
      </w:r>
    </w:p>
    <w:p>
      <w:pPr>
        <w:pStyle w:val="ListParagraph"/>
        <w:numPr>
          <w:ilvl w:val="0"/>
          <w:numId w:val="2"/>
        </w:numPr>
        <w:spacing w:after="60"/>
      </w:pPr>
      <w:r>
        <w:t xml:space="preserve">Contents of OSHA's lead standard, including Appendices A and B</w:t>
      </w:r>
    </w:p>
    <w:p>
      <w:pPr>
        <w:pStyle w:val="Heading1"/>
      </w:pPr>
      <w:r>
        <w:t xml:space="preserve">13. Recordkeeping</w:t>
      </w:r>
    </w:p>
    <w:p>
      <w:pPr>
        <w:pStyle w:val="ListParagraph"/>
        <w:numPr>
          <w:ilvl w:val="0"/>
          <w:numId w:val="2"/>
        </w:numPr>
        <w:spacing w:after="60"/>
      </w:pPr>
      <w:r>
        <w:t xml:space="preserve">Exposure monitoring records: retained for at least 30 years (per 29 CFR 1910.1020)</w:t>
      </w:r>
    </w:p>
    <w:p>
      <w:pPr>
        <w:pStyle w:val="ListParagraph"/>
        <w:numPr>
          <w:ilvl w:val="0"/>
          <w:numId w:val="2"/>
        </w:numPr>
        <w:spacing w:after="60"/>
      </w:pPr>
      <w:r>
        <w:t xml:space="preserve">Medical surveillance records: retained for duration of employment + 30 years</w:t>
      </w:r>
    </w:p>
    <w:p>
      <w:pPr>
        <w:pStyle w:val="ListParagraph"/>
        <w:numPr>
          <w:ilvl w:val="0"/>
          <w:numId w:val="2"/>
        </w:numPr>
        <w:spacing w:after="60"/>
      </w:pPr>
      <w:r>
        <w:t xml:space="preserve">Blood lead level results: maintained as part of medical records (30 years)</w:t>
      </w:r>
    </w:p>
    <w:p>
      <w:pPr>
        <w:pStyle w:val="ListParagraph"/>
        <w:numPr>
          <w:ilvl w:val="0"/>
          <w:numId w:val="2"/>
        </w:numPr>
        <w:spacing w:after="60"/>
      </w:pPr>
      <w:r>
        <w:t xml:space="preserve">Written exposure control plan: maintained current</w:t>
      </w:r>
    </w:p>
    <w:p>
      <w:pPr>
        <w:pStyle w:val="ListParagraph"/>
        <w:numPr>
          <w:ilvl w:val="0"/>
          <w:numId w:val="2"/>
        </w:numPr>
        <w:spacing w:after="60"/>
      </w:pPr>
      <w:r>
        <w:t xml:space="preserve">Training records: maintained for duration of employment</w:t>
      </w:r>
    </w:p>
    <w:p>
      <w:pPr>
        <w:pStyle w:val="ListParagraph"/>
        <w:numPr>
          <w:ilvl w:val="0"/>
          <w:numId w:val="2"/>
        </w:numPr>
        <w:spacing w:after="60"/>
      </w:pPr>
      <w:r>
        <w:t xml:space="preserve">Objective data: retained for 30 years</w:t>
      </w:r>
    </w:p>
    <w:p>
      <w:pPr>
        <w:pStyle w:val="ListParagraph"/>
        <w:numPr>
          <w:ilvl w:val="0"/>
          <w:numId w:val="2"/>
        </w:numPr>
        <w:spacing w:after="60"/>
      </w:pPr>
      <w:r>
        <w:t xml:space="preserve">Medical removal records: retained for duration of employment + 30 years</w:t>
      </w:r>
    </w:p>
    <w:p>
      <w:r>
        <w:br w:type="page"/>
      </w:r>
    </w:p>
    <w:p>
      <w:pPr>
        <w:pStyle w:val="Heading1"/>
      </w:pPr>
      <w:r>
        <w:t xml:space="preserve">Appendix A: Lead Exposure Monitoring Record</w:t>
      </w:r>
    </w:p>
    <w:p>
      <w:pPr>
        <w:spacing w:after="120"/>
        <w:rPr>
          <w:i/>
          <w:iCs/>
          <w:color w:val="666666"/>
        </w:rPr>
      </w:pPr>
      <w:r>
        <w:rPr>
          <w:i/>
          <w:iCs/>
          <w:color w:val="666666"/>
        </w:rPr>
        <w:t xml:space="preserve">Document all personal air monitoring for lead exposure.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Sample Date: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Collected by:</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Project/Worksite: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Laboratory Name: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Lab Sample ID:</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Analysis Method:</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bl>
    <w:p>
      <w:pPr>
        <w:spacing w:after="0"/>
      </w:pPr>
    </w:p>
    <w:p>
      <w:pPr>
        <w:pStyle w:val="Heading2"/>
      </w:pPr>
      <w:r>
        <w:t xml:space="preserve">Employee Sample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0"/>
        <w:gridCol w:w="5360"/>
      </w:tblGrid>
      <w:tr>
        <w:trPr>
          <w:tblHeader/>
        </w:trPr>
        <w:tc>
          <w:tcPr>
            <w:tcW w:type="dxa" w:w="40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Field</w:t>
            </w:r>
          </w:p>
        </w:tc>
        <w:tc>
          <w:tcPr>
            <w:tcW w:type="dxa" w:w="53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Data</w:t>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Employee Name:</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Job Title:</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Task Performed:</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Sample Location:</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Pump Make/Model:</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Pump Serial #:</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Pre-Calibration Flow Rate (L/min):</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Post-Calibration Flow Rate (L/min):</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Sample Start Time:</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Sample Stop Time:</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Total Sample Volume (L):</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0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Filter Cassette Type:</w:t>
            </w:r>
          </w:p>
        </w:tc>
        <w:tc>
          <w:tcPr>
            <w:tcW w:type="dxa" w:w="53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bl>
    <w:p>
      <w:pPr>
        <w:spacing w:after="0"/>
      </w:pPr>
    </w:p>
    <w:p>
      <w:pPr>
        <w:pStyle w:val="Heading2"/>
      </w:pPr>
      <w:r>
        <w:t xml:space="preserve">Results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4860"/>
      </w:tblGrid>
      <w:tr>
        <w:trPr>
          <w:tblHeader/>
        </w:trPr>
        <w:tc>
          <w:tcPr>
            <w:tcW w:type="dxa" w:w="4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Parameter</w:t>
            </w:r>
          </w:p>
        </w:tc>
        <w:tc>
          <w:tcPr>
            <w:tcW w:type="dxa" w:w="48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Result</w:t>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Lead Concentration (µg/m³):</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8-Hour TWA (µg/m³):</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PEL (50 µg/m³) Exceeded?</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Yes  ☐ No</w:t>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Action Level (30 µg/m³) Exceeded?</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Yes  ☐ No</w:t>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Engineering Controls in Use:</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Respiratory Protection in Use:</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Protective Clothing in Use:</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bl>
    <w:p>
      <w:pPr>
        <w:spacing w:after="0"/>
      </w:pPr>
    </w:p>
    <w:p>
      <w:pPr>
        <w:spacing w:after="120"/>
      </w:pPr>
      <w:r>
        <w:t xml:space="preserve">Employee notified of results within 5 working days: ☐ Yes  Date: ______________</w:t>
      </w:r>
    </w:p>
    <w:p>
      <w:pPr>
        <w:spacing w:after="120"/>
      </w:pPr>
      <w:r>
        <w:t xml:space="preserve">Corrective action required: ☐ Yes  ☐ No  Action: ________________________________________</w:t>
      </w:r>
    </w:p>
    <w:p>
      <w:pPr>
        <w:spacing w:after="120"/>
      </w:pPr>
      <w:r>
        <w:t xml:space="preserve">Reviewed by: ________________________  Date: ______________</w:t>
      </w:r>
    </w:p>
    <w:p>
      <w:r>
        <w:br w:type="page"/>
      </w:r>
    </w:p>
    <w:p>
      <w:pPr>
        <w:pStyle w:val="Heading1"/>
      </w:pPr>
      <w:r>
        <w:t xml:space="preserve">Appendix B: Blood Lead Level Tracking Form</w:t>
      </w:r>
    </w:p>
    <w:p>
      <w:pPr>
        <w:spacing w:after="120"/>
        <w:rPr>
          <w:i/>
          <w:iCs/>
          <w:color w:val="666666"/>
        </w:rPr>
      </w:pPr>
      <w:r>
        <w:rPr>
          <w:i/>
          <w:iCs/>
          <w:color w:val="666666"/>
        </w:rPr>
        <w:t xml:space="preserve">Track all blood lead level results for each employee over time.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Employee Name: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Employee ID:</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Job Title: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Date of Hire: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Department/Crew:</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r>
        <w:tc>
          <w:tcPr>
            <w:tcW w:type="dxa" w:w="30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b/>
                <w:bCs/>
                <w:sz w:val="20"/>
                <w:szCs w:val="20"/>
              </w:rPr>
              <w:t xml:space="preserve">Physician Name:</w:t>
            </w:r>
          </w:p>
        </w:tc>
        <w:tc>
          <w:tcPr>
            <w:tcW w:type="dxa" w:w="63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sz w:val="20"/>
                <w:szCs w:val="20"/>
              </w:rPr>
              <w:t xml:space="preserve"/>
            </w:r>
          </w:p>
        </w:tc>
      </w:tr>
    </w:tbl>
    <w:p>
      <w:pPr>
        <w:spacing w:after="0"/>
      </w:pPr>
    </w:p>
    <w:p>
      <w:pPr>
        <w:pStyle w:val="Heading2"/>
      </w:pPr>
      <w:r>
        <w:t xml:space="preserve">Blood Lead Level (BLL) History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1300"/>
        <w:gridCol w:w="1300"/>
        <w:gridCol w:w="1800"/>
        <w:gridCol w:w="1960"/>
        <w:gridCol w:w="1600"/>
      </w:tblGrid>
      <w:tr>
        <w:trPr>
          <w:tblHeader/>
        </w:trPr>
        <w:tc>
          <w:tcPr>
            <w:tcW w:type="dxa" w:w="14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Date</w:t>
            </w:r>
          </w:p>
        </w:tc>
        <w:tc>
          <w:tcPr>
            <w:tcW w:type="dxa" w:w="13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BLL (µg/dL)</w:t>
            </w:r>
          </w:p>
        </w:tc>
        <w:tc>
          <w:tcPr>
            <w:tcW w:type="dxa" w:w="13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ZPP (µg/dL)</w:t>
            </w:r>
          </w:p>
        </w:tc>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Lab Name</w:t>
            </w:r>
          </w:p>
        </w:tc>
        <w:tc>
          <w:tcPr>
            <w:tcW w:type="dxa" w:w="19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Action Required</w:t>
            </w:r>
          </w:p>
        </w:tc>
        <w:tc>
          <w:tcPr>
            <w:tcW w:type="dxa" w:w="16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Employee Notified (Date)</w:t>
            </w:r>
          </w:p>
        </w:tc>
      </w:tr>
      <w:tr>
        <w:tc>
          <w:tcPr>
            <w:tcW w:type="dxa" w:w="14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r>
      <w:tr>
        <w:tc>
          <w:tcPr>
            <w:tcW w:type="dxa" w:w="14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r>
      <w:tr>
        <w:tc>
          <w:tcPr>
            <w:tcW w:type="dxa" w:w="14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r>
      <w:tr>
        <w:tc>
          <w:tcPr>
            <w:tcW w:type="dxa" w:w="14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r>
      <w:tr>
        <w:tc>
          <w:tcPr>
            <w:tcW w:type="dxa" w:w="14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r>
      <w:tr>
        <w:tc>
          <w:tcPr>
            <w:tcW w:type="dxa" w:w="14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1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3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8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9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c>
          <w:tcPr>
            <w:tcW w:type="dxa" w:w="16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sz w:val="20"/>
                <w:szCs w:val="20"/>
              </w:rPr>
              <w:t xml:space="preserve"/>
            </w:r>
          </w:p>
        </w:tc>
      </w:tr>
    </w:tbl>
    <w:p>
      <w:pPr>
        <w:spacing w:after="0"/>
      </w:pPr>
    </w:p>
    <w:p>
      <w:pPr>
        <w:pStyle w:val="Heading2"/>
      </w:pPr>
      <w:r>
        <w:t xml:space="preserve">Medical Removal Tracking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500"/>
        <w:gridCol w:w="4860"/>
      </w:tblGrid>
      <w:tr>
        <w:trPr>
          <w:tblHeader/>
        </w:trPr>
        <w:tc>
          <w:tcPr>
            <w:tcW w:type="dxa" w:w="4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Field</w:t>
            </w:r>
          </w:p>
        </w:tc>
        <w:tc>
          <w:tcPr>
            <w:tcW w:type="dxa" w:w="48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Data</w:t>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Date of Medical Removal:</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BLL at Removal:</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Reason for Removal:</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Physician Recommendation:</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Date Returned to Work:</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BLL at Return (must be &lt; 40 µg/dL on 2 consecutive):</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r>
        <w:tc>
          <w:tcPr>
            <w:tcW w:type="dxa" w:w="4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Days on Medical Removal:</w:t>
            </w:r>
          </w:p>
        </w:tc>
        <w:tc>
          <w:tcPr>
            <w:tcW w:type="dxa" w:w="4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w:r>
          </w:p>
        </w:tc>
      </w:tr>
    </w:tbl>
    <w:p>
      <w:pPr>
        <w:spacing w:after="0"/>
      </w:pPr>
    </w:p>
    <w:p>
      <w:pPr>
        <w:pStyle w:val="Heading2"/>
      </w:pPr>
      <w:r>
        <w:t xml:space="preserve">Action Level Reference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rPr>
          <w:tblHeader/>
        </w:trPr>
        <w:tc>
          <w:tcPr>
            <w:tcW w:type="dxa" w:w="2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BLL Level</w:t>
            </w:r>
          </w:p>
        </w:tc>
        <w:tc>
          <w:tcPr>
            <w:tcW w:type="dxa" w:w="68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left"/>
            </w:pPr>
            <w:r>
              <w:rPr>
                <w:rFonts w:ascii="Calibri" w:cs="Calibri" w:eastAsia="Calibri" w:hAnsi="Calibri"/>
                <w:b/>
                <w:bCs/>
                <w:color w:val="FFFFFF"/>
                <w:sz w:val="20"/>
                <w:szCs w:val="20"/>
              </w:rPr>
              <w:t xml:space="preserve">Action Required</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&lt; 30 µg/dL</w:t>
            </w:r>
          </w:p>
        </w:tc>
        <w:tc>
          <w:tcPr>
            <w:tcW w:type="dxa" w:w="6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No action — below trigger levels</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30–39 µg/dL</w:t>
            </w:r>
          </w:p>
        </w:tc>
        <w:tc>
          <w:tcPr>
            <w:tcW w:type="dxa" w:w="6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Continue monitoring per schedule; review controls</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40–49 µg/dL</w:t>
            </w:r>
          </w:p>
        </w:tc>
        <w:tc>
          <w:tcPr>
            <w:tcW w:type="dxa" w:w="6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Increase monitoring to every 2 months; evaluate controls; physician review</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 50 µg/dL</w:t>
            </w:r>
          </w:p>
        </w:tc>
        <w:tc>
          <w:tcPr>
            <w:tcW w:type="dxa" w:w="6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MEDICAL REMOVAL — remove from lead exposure immediately</w:t>
            </w:r>
          </w:p>
        </w:tc>
      </w:tr>
      <w:tr>
        <w:tc>
          <w:tcPr>
            <w:tcW w:type="dxa" w:w="250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Return criteria</w:t>
            </w:r>
          </w:p>
        </w:tc>
        <w:tc>
          <w:tcPr>
            <w:tcW w:type="dxa" w:w="6860"/>
            <w:tcBorders>
              <w:top w:val="single" w:color="B0B0B0" w:sz="1"/>
              <w:left w:val="single" w:color="B0B0B0" w:sz="1"/>
              <w:bottom w:val="single" w:color="B0B0B0" w:sz="1"/>
              <w:right w:val="single" w:color="B0B0B0" w:sz="1"/>
            </w:tcBorders>
            <w:tcMar>
              <w:top w:type="dxa" w:w="40"/>
              <w:left w:type="dxa" w:w="80"/>
              <w:bottom w:type="dxa" w:w="40"/>
              <w:right w:type="dxa" w:w="80"/>
            </w:tcMar>
            <w:vAlign w:val="center"/>
          </w:tcPr>
          <w:p>
            <w:r>
              <w:rPr>
                <w:sz w:val="20"/>
                <w:szCs w:val="20"/>
              </w:rPr>
              <w:t xml:space="preserve">Two consecutive BLLs &lt; 40 µg/dL, at least 1 month apart</w:t>
            </w:r>
          </w:p>
        </w:tc>
      </w:tr>
    </w:tbl>
    <w:p>
      <w:pPr>
        <w:spacing w:after="0"/>
      </w:pPr>
    </w:p>
    <w:p>
      <w:pPr>
        <w:spacing w:after="120"/>
      </w:pPr>
      <w:r>
        <w:t xml:space="preserve">Maintained by: ________________________  Date: ______________</w:t>
      </w:r>
    </w:p>
    <w:p>
      <w:pPr>
        <w:spacing w:after="120"/>
      </w:pPr>
      <w:r>
        <w:t xml:space="preserve">Reviewed by (Physician): ________________________  Date: ______________</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1"/>
            <w:left w:val="none" w:color="FFFFFF" w:sz="0"/>
            <w:bottom w:val="none" w:color="FFFFFF" w:sz="0"/>
            <w:right w:val="none" w:color="FFFFFF" w:sz="0"/>
          </w:tcBorders>
          <w:tcMar>
            <w:top w:type="dxa" w:w="60"/>
            <w:left w:type="dxa" w:w="0"/>
            <w:bottom w:type="dxa" w:w="0"/>
            <w:right w:type="dxa" w:w="0"/>
          </w:tcMar>
        </w:tcPr>
        <w:p>
          <w:pPr>
            <w:jc w:val="center"/>
          </w:pPr>
          <w:r>
            <w:rPr>
              <w:rFonts w:ascii="Calibri" w:cs="Calibri" w:eastAsia="Calibri" w:hAnsi="Calibri"/>
              <w:color w:val="666666"/>
              <w:sz w:val="16"/>
              <w:szCs w:val="16"/>
            </w:rPr>
            <w:t xml:space="preserve">Lead Exposure Control Plan  |  [COMPANY NAME]  |  Page </w:t>
          </w:r>
          <w:r>
            <w:rPr>
              <w:color w:val="666666"/>
              <w:sz w:val="16"/>
              <w:szCs w:val="16"/>
            </w:rPr>
            <w:fldChar w:fldCharType="begin"/>
            <w:instrText xml:space="preserve">PAGE</w:instrText>
            <w:fldChar w:fldCharType="separate"/>
            <w:fldChar w:fldCharType="end"/>
          </w:r>
          <w:r>
            <w:rPr>
              <w:color w:val="666666"/>
              <w:sz w:val="16"/>
              <w:szCs w:val="16"/>
            </w:rPr>
            <w:t xml:space="preserve"> of </w:t>
          </w:r>
          <w:r>
            <w:rPr>
              <w:color w:val="666666"/>
              <w:sz w:val="16"/>
              <w:szCs w:val="16"/>
            </w:rPr>
            <w:fldChar w:fldCharType="begin"/>
            <w:instrText xml:space="preserve">NUMPAGES</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20"/>
              <w:szCs w:val="20"/>
            </w:rPr>
            <w:t xml:space="preserve">FORBES SAFETY SOLUTIONS</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decimal"/>
      <w:lvlText w:val="%1."/>
      <w:lvlJc w:val="left"/>
      <w:pPr>
        <w:ind w:left="720" w:hanging="360"/>
      </w:pPr>
    </w:lvl>
  </w:abstractNum>
  <w:abstractNum w:abstractNumId="7"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444444"/>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2026-03-16T00:11:06.751Z</dcterms:created>
  <dcterms:modified xsi:type="dcterms:W3CDTF">2026-03-16T00:11:06.752Z</dcterms:modified>
</cp:coreProperties>
</file>

<file path=docProps/custom.xml><?xml version="1.0" encoding="utf-8"?>
<Properties xmlns="http://schemas.openxmlformats.org/officeDocument/2006/custom-properties" xmlns:vt="http://schemas.openxmlformats.org/officeDocument/2006/docPropsVTypes"/>
</file>