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20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2A4A" w:val="clear"/>
            <w:tcMar>
              <w:top w:type="dxa" w:w="200"/>
              <w:left w:type="dxa" w:w="200"/>
              <w:bottom w:type="dxa" w:w="200"/>
              <w:right w:type="dxa" w:w="200"/>
            </w:tcMar>
          </w:tcPr>
          <w:p>
            <w:pPr>
              <w:spacing w:after="100"/>
              <w:jc w:val="center"/>
            </w:pPr>
            <w:r>
              <w:rPr>
                <w:rFonts w:ascii="Calibri" w:cs="Calibri" w:eastAsia="Calibri" w:hAnsi="Calibri"/>
                <w:b/>
                <w:bCs/>
                <w:color w:val="E8A838"/>
                <w:sz w:val="28"/>
                <w:szCs w:val="28"/>
              </w:rPr>
              <w:t xml:space="preserve">FORBES SAFETY SOLUTIONS</w:t>
            </w:r>
          </w:p>
        </w:tc>
      </w:tr>
    </w:tbl>
    <w:p>
      <w:pPr>
        <w:spacing w:after="0" w:before="600"/>
      </w:pPr>
    </w:p>
    <w:p>
      <w:pPr>
        <w:spacing w:after="200"/>
        <w:jc w:val="center"/>
      </w:pPr>
      <w:r>
        <w:rPr>
          <w:rFonts w:ascii="Calibri" w:cs="Calibri" w:eastAsia="Calibri" w:hAnsi="Calibri"/>
          <w:b/>
          <w:bCs/>
          <w:color w:val="1B2A4A"/>
          <w:sz w:val="48"/>
          <w:szCs w:val="48"/>
        </w:rPr>
        <w:t xml:space="preserve">Process Safety Management (PSM) Program</w:t>
      </w:r>
    </w:p>
    <w:p>
      <w:pPr>
        <w:spacing w:after="200"/>
        <w:jc w:val="center"/>
      </w:pPr>
      <w:r>
        <w:rPr>
          <w:rFonts w:ascii="Calibri" w:cs="Calibri" w:eastAsia="Calibri" w:hAnsi="Calibri"/>
          <w:color w:val="555555"/>
          <w:sz w:val="28"/>
          <w:szCs w:val="28"/>
        </w:rPr>
        <w:t xml:space="preserve">Overview of 14 PSM Elements</w:t>
      </w:r>
    </w:p>
    <w:tbl>
      <w:tblPr>
        <w:tblW w:type="dxa" w:w="3000"/>
        <w:tblBorders>
          <w:top w:val="single" w:color="auto" w:sz="4"/>
          <w:left w:val="single" w:color="auto" w:sz="4"/>
          <w:bottom w:val="single" w:color="auto" w:sz="4"/>
          <w:right w:val="single" w:color="auto" w:sz="4"/>
          <w:insideH w:val="single" w:color="auto" w:sz="4"/>
          <w:insideV w:val="single" w:color="auto" w:sz="4"/>
        </w:tblBorders>
      </w:tblPr>
      <w:tblGrid>
        <w:gridCol w:w="3000"/>
      </w:tblGrid>
      <w:tr>
        <w:tc>
          <w:tcPr>
            <w:tcW w:type="dxa" w:w="300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jc w:val="center"/>
            </w:pPr>
            <w:r>
              <w:rPr>
                <w:sz w:val="4"/>
                <w:szCs w:val="4"/>
              </w:rPr>
              <w:t xml:space="preserve"> </w:t>
            </w:r>
          </w:p>
        </w:tc>
      </w:tr>
    </w:tbl>
    <w:p>
      <w:pPr>
        <w:spacing w:after="200" w:before="600"/>
      </w:pPr>
    </w:p>
    <w:p>
      <w:pPr>
        <w:jc w:val="center"/>
      </w:pPr>
      <w:r>
        <w:rPr>
          <w:color w:val="666666"/>
          <w:sz w:val="24"/>
          <w:szCs w:val="24"/>
        </w:rPr>
        <w:t xml:space="preserve">Prepared for:</w:t>
      </w:r>
    </w:p>
    <w:p>
      <w:pPr>
        <w:spacing w:after="100"/>
        <w:jc w:val="center"/>
      </w:pPr>
      <w:r>
        <w:rPr>
          <w:b/>
          <w:bCs/>
          <w:color w:val="1B2A4A"/>
          <w:sz w:val="32"/>
          <w:szCs w:val="32"/>
        </w:rPr>
        <w:t xml:space="preserve">[COMPANY NAME]</w:t>
      </w:r>
    </w:p>
    <w:p>
      <w:pPr>
        <w:spacing w:after="0" w:before="200"/>
      </w:pPr>
    </w:p>
    <w:p>
      <w:pPr>
        <w:jc w:val="center"/>
      </w:pPr>
      <w:r>
        <w:rPr>
          <w:b/>
          <w:bCs/>
          <w:color w:val="666666"/>
          <w:sz w:val="20"/>
          <w:szCs w:val="20"/>
        </w:rPr>
        <w:t xml:space="preserve">Regulatory References:</w:t>
      </w:r>
    </w:p>
    <w:p>
      <w:pPr>
        <w:spacing w:after="100"/>
        <w:jc w:val="center"/>
      </w:pPr>
      <w:r>
        <w:rPr>
          <w:color w:val="666666"/>
          <w:sz w:val="20"/>
          <w:szCs w:val="20"/>
        </w:rPr>
        <w:t xml:space="preserve">29 CFR 1910.119</w:t>
      </w:r>
    </w:p>
    <w:p>
      <w:pPr>
        <w:spacing w:after="0" w:before="400"/>
      </w:pPr>
    </w:p>
    <w:p>
      <w:pPr>
        <w:jc w:val="center"/>
      </w:pPr>
      <w:r>
        <w:rPr>
          <w:color w:val="666666"/>
          <w:sz w:val="22"/>
          <w:szCs w:val="22"/>
        </w:rPr>
        <w:t xml:space="preserve">Effective Date: [DATE]</w:t>
      </w:r>
    </w:p>
    <w:p>
      <w:pPr>
        <w:jc w:val="center"/>
      </w:pPr>
      <w:r>
        <w:rPr>
          <w:color w:val="666666"/>
          <w:sz w:val="22"/>
          <w:szCs w:val="22"/>
        </w:rPr>
        <w:t xml:space="preserve">Review Date: [ANNUAL REVIEW DATE]</w:t>
      </w:r>
    </w:p>
    <w:p>
      <w:r>
        <w:br w:type="page"/>
      </w:r>
    </w:p>
    <w:p>
      <w:pPr>
        <w:pStyle w:val="Heading1"/>
      </w:pPr>
      <w:r>
        <w:t xml:space="preserve">Table of Contents</w:t>
      </w:r>
    </w:p>
    <w:sdt>
      <w:sdtPr>
        <w:alias w:val="Table of Contents"/>
      </w:sdtPr>
      <w:sdtContent>
        <w:p>
          <w:r>
            <w:fldChar w:fldCharType="begin" w:dirty="true"/>
            <w:instrText xml:space="preserve">TOC \h \o "1-3"</w:instrText>
            <w:fldChar w:fldCharType="separate"/>
          </w:r>
        </w:p>
        <w:p>
          <w:r>
            <w:fldChar w:fldCharType="end"/>
          </w:r>
        </w:p>
      </w:sdtContent>
    </w:sdt>
    <w:p>
      <w:r>
        <w:br w:type="page"/>
      </w:r>
    </w:p>
    <w:p>
      <w:pPr>
        <w:pStyle w:val="Heading1"/>
      </w:pPr>
      <w:r>
        <w:t xml:space="preserve">1. Purpose and Scope</w:t>
      </w:r>
    </w:p>
    <w:p>
      <w:pPr>
        <w:spacing w:after="120"/>
      </w:pPr>
      <w:r>
        <w:t xml:space="preserve">This Process Safety Management (PSM) Program establishes the framework for managing the hazards associated with processes using highly hazardous chemicals at [COMPANY NAME] facilities. This program implements the requirements of 29 CFR 1910.119 and covers all 14 elements of PSM.</w:t>
      </w:r>
    </w:p>
    <w:p>
      <w:pPr>
        <w:spacing w:after="120"/>
      </w:pPr>
      <w:r>
        <w:t xml:space="preserve">The goal is to prevent unwanted releases of hazardous chemicals, especially into locations that could expose employees and others to serious hazards, by applying management principles and analytical techniques to the entire lifecycle of a process.</w:t>
      </w:r>
    </w:p>
    <w:p>
      <w:pPr>
        <w:pStyle w:val="Heading1"/>
      </w:pPr>
      <w:r>
        <w:t xml:space="preserve">2. Regulatory References</w:t>
      </w:r>
    </w:p>
    <w:p>
      <w:pPr>
        <w:pStyle w:val="ListParagraph"/>
        <w:numPr>
          <w:ilvl w:val="0"/>
          <w:numId w:val="2"/>
        </w:numPr>
        <w:spacing w:after="60"/>
      </w:pPr>
      <w:r>
        <w:t xml:space="preserve">29 CFR 1910.119 — Process Safety Management of Highly Hazardous Chemicals</w:t>
      </w:r>
    </w:p>
    <w:p>
      <w:pPr>
        <w:pStyle w:val="ListParagraph"/>
        <w:numPr>
          <w:ilvl w:val="0"/>
          <w:numId w:val="2"/>
        </w:numPr>
        <w:spacing w:after="60"/>
      </w:pPr>
      <w:r>
        <w:t xml:space="preserve">EPA 40 CFR Part 68 — Chemical Accident Prevention (Risk Management Program)</w:t>
      </w:r>
    </w:p>
    <w:p>
      <w:pPr>
        <w:pStyle w:val="ListParagraph"/>
        <w:numPr>
          <w:ilvl w:val="0"/>
          <w:numId w:val="2"/>
        </w:numPr>
        <w:spacing w:after="60"/>
      </w:pPr>
      <w:r>
        <w:t xml:space="preserve">OSHA PSM NEP (National Emphasis Program)</w:t>
      </w:r>
    </w:p>
    <w:p>
      <w:pPr>
        <w:pStyle w:val="ListParagraph"/>
        <w:numPr>
          <w:ilvl w:val="0"/>
          <w:numId w:val="2"/>
        </w:numPr>
        <w:spacing w:after="60"/>
      </w:pPr>
      <w:r>
        <w:t xml:space="preserve">CCPS Guidelines for Risk Based Process Safety</w:t>
      </w:r>
    </w:p>
    <w:p>
      <w:pPr>
        <w:pStyle w:val="ListParagraph"/>
        <w:numPr>
          <w:ilvl w:val="0"/>
          <w:numId w:val="2"/>
        </w:numPr>
        <w:spacing w:after="60"/>
      </w:pPr>
      <w:r>
        <w:t xml:space="preserve">API RP 750, 752, 753 — Management of Process Hazards</w:t>
      </w:r>
    </w:p>
    <w:p>
      <w:pPr>
        <w:pStyle w:val="Heading1"/>
      </w:pPr>
      <w:r>
        <w:t xml:space="preserve">3. Applicability and Threshold Quantities</w:t>
      </w:r>
    </w:p>
    <w:p>
      <w:pPr>
        <w:spacing w:after="120"/>
      </w:pPr>
      <w:r>
        <w:t xml:space="preserve">PSM applies to processes involving chemicals at or above the threshold quantities listed in Appendix A of 29 CFR 1910.119, or any process involving 10,000 pounds or more of a flammable liquid or gas. Key examples include: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3000"/>
        <w:gridCol w:w="3360"/>
      </w:tblGrid>
      <w:tr>
        <w:trPr>
          <w:tblHeader/>
        </w:trPr>
        <w:tc>
          <w:tcPr>
            <w:tcW w:type="dxa" w:w="30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Chemical</w:t>
            </w:r>
          </w:p>
        </w:tc>
        <w:tc>
          <w:tcPr>
            <w:tcW w:type="dxa" w:w="30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Threshold Quantity (lbs)</w:t>
            </w:r>
          </w:p>
        </w:tc>
        <w:tc>
          <w:tcPr>
            <w:tcW w:type="dxa" w:w="33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Common Applications</w:t>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Chlorine</w:t>
            </w:r>
          </w:p>
        </w:tc>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1,500</w:t>
            </w:r>
          </w:p>
        </w:tc>
        <w:tc>
          <w:tcPr>
            <w:tcW w:type="dxa" w:w="3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Water treatment, chemical processes</w:t>
            </w:r>
          </w:p>
        </w:tc>
      </w:tr>
      <w:tr>
        <w:tc>
          <w:tcPr>
            <w:tcW w:type="dxa" w:w="3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Ammonia (anhydrous)</w:t>
            </w:r>
          </w:p>
        </w:tc>
        <w:tc>
          <w:tcPr>
            <w:tcW w:type="dxa" w:w="3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10,000</w:t>
            </w:r>
          </w:p>
        </w:tc>
        <w:tc>
          <w:tcPr>
            <w:tcW w:type="dxa" w:w="33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Refrigeration, chemical manufacturing</w:t>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Hydrogen Fluoride</w:t>
            </w:r>
          </w:p>
        </w:tc>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1,000</w:t>
            </w:r>
          </w:p>
        </w:tc>
        <w:tc>
          <w:tcPr>
            <w:tcW w:type="dxa" w:w="3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Oil refining, chemical production</w:t>
            </w:r>
          </w:p>
        </w:tc>
      </w:tr>
      <w:tr>
        <w:tc>
          <w:tcPr>
            <w:tcW w:type="dxa" w:w="3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Ethylene Oxide</w:t>
            </w:r>
          </w:p>
        </w:tc>
        <w:tc>
          <w:tcPr>
            <w:tcW w:type="dxa" w:w="3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5,000</w:t>
            </w:r>
          </w:p>
        </w:tc>
        <w:tc>
          <w:tcPr>
            <w:tcW w:type="dxa" w:w="33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Sterilization, chemical processes</w:t>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Propane (as flammable)</w:t>
            </w:r>
          </w:p>
        </w:tc>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10,000</w:t>
            </w:r>
          </w:p>
        </w:tc>
        <w:tc>
          <w:tcPr>
            <w:tcW w:type="dxa" w:w="3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Fuel storage, heating</w:t>
            </w:r>
          </w:p>
        </w:tc>
      </w:tr>
      <w:tr>
        <w:tc>
          <w:tcPr>
            <w:tcW w:type="dxa" w:w="3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Methane (as flammable)</w:t>
            </w:r>
          </w:p>
        </w:tc>
        <w:tc>
          <w:tcPr>
            <w:tcW w:type="dxa" w:w="3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10,000</w:t>
            </w:r>
          </w:p>
        </w:tc>
        <w:tc>
          <w:tcPr>
            <w:tcW w:type="dxa" w:w="33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Natural gas processing</w:t>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Sulfur Dioxide</w:t>
            </w:r>
          </w:p>
        </w:tc>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1,000</w:t>
            </w:r>
          </w:p>
        </w:tc>
        <w:tc>
          <w:tcPr>
            <w:tcW w:type="dxa" w:w="3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Pulp/paper, chemical processes</w:t>
            </w:r>
          </w:p>
        </w:tc>
      </w:tr>
    </w:tbl>
    <w:p>
      <w:pPr>
        <w:spacing w:after="0"/>
      </w:pPr>
    </w:p>
    <w:p>
      <w:pPr>
        <w:spacing w:after="120"/>
      </w:pPr>
      <w:r>
        <w:t xml:space="preserve">PSM does NOT apply to: retail facilities, oil or gas well drilling/servicing, normally unoccupied remote facilities, or hydrocarbon fuels used solely for workplace consumption as a fuel.</w:t>
      </w:r>
    </w:p>
    <w:p>
      <w:pPr>
        <w:pStyle w:val="Heading1"/>
      </w:pPr>
      <w:r>
        <w:t xml:space="preserve">4. Roles and Responsibilities</w:t>
      </w:r>
    </w:p>
    <w:p>
      <w:pPr>
        <w:pStyle w:val="Heading2"/>
      </w:pPr>
      <w:r>
        <w:t xml:space="preserve">4.1 Facility Management</w:t>
      </w:r>
    </w:p>
    <w:p>
      <w:pPr>
        <w:pStyle w:val="ListParagraph"/>
        <w:numPr>
          <w:ilvl w:val="0"/>
          <w:numId w:val="2"/>
        </w:numPr>
        <w:spacing w:after="60"/>
      </w:pPr>
      <w:r>
        <w:t xml:space="preserve">Provide overall program leadership and resource allocation</w:t>
      </w:r>
    </w:p>
    <w:p>
      <w:pPr>
        <w:pStyle w:val="ListParagraph"/>
        <w:numPr>
          <w:ilvl w:val="0"/>
          <w:numId w:val="2"/>
        </w:numPr>
        <w:spacing w:after="60"/>
      </w:pPr>
      <w:r>
        <w:t xml:space="preserve">Ensure PSM elements are implemented and maintained</w:t>
      </w:r>
    </w:p>
    <w:p>
      <w:pPr>
        <w:pStyle w:val="ListParagraph"/>
        <w:numPr>
          <w:ilvl w:val="0"/>
          <w:numId w:val="2"/>
        </w:numPr>
        <w:spacing w:after="60"/>
      </w:pPr>
      <w:r>
        <w:t xml:space="preserve">Conduct management reviews of PSM program effectiveness</w:t>
      </w:r>
    </w:p>
    <w:p>
      <w:pPr>
        <w:pStyle w:val="ListParagraph"/>
        <w:numPr>
          <w:ilvl w:val="0"/>
          <w:numId w:val="2"/>
        </w:numPr>
        <w:spacing w:after="60"/>
      </w:pPr>
      <w:r>
        <w:t xml:space="preserve">Ensure compliance audits are conducted every 3 years</w:t>
      </w:r>
    </w:p>
    <w:p>
      <w:pPr>
        <w:pStyle w:val="Heading2"/>
      </w:pPr>
      <w:r>
        <w:t xml:space="preserve">4.2 PSM Coordinator</w:t>
      </w:r>
    </w:p>
    <w:p>
      <w:pPr>
        <w:pStyle w:val="ListParagraph"/>
        <w:numPr>
          <w:ilvl w:val="0"/>
          <w:numId w:val="2"/>
        </w:numPr>
        <w:spacing w:after="60"/>
      </w:pPr>
      <w:r>
        <w:t xml:space="preserve">Administer day-to-day PSM program activities</w:t>
      </w:r>
    </w:p>
    <w:p>
      <w:pPr>
        <w:pStyle w:val="ListParagraph"/>
        <w:numPr>
          <w:ilvl w:val="0"/>
          <w:numId w:val="2"/>
        </w:numPr>
        <w:spacing w:after="60"/>
      </w:pPr>
      <w:r>
        <w:t xml:space="preserve">Coordinate process hazard analyses and management of change reviews</w:t>
      </w:r>
    </w:p>
    <w:p>
      <w:pPr>
        <w:pStyle w:val="ListParagraph"/>
        <w:numPr>
          <w:ilvl w:val="0"/>
          <w:numId w:val="2"/>
        </w:numPr>
        <w:spacing w:after="60"/>
      </w:pPr>
      <w:r>
        <w:t xml:space="preserve">Maintain process safety information and documentation</w:t>
      </w:r>
    </w:p>
    <w:p>
      <w:pPr>
        <w:pStyle w:val="ListParagraph"/>
        <w:numPr>
          <w:ilvl w:val="0"/>
          <w:numId w:val="2"/>
        </w:numPr>
        <w:spacing w:after="60"/>
      </w:pPr>
      <w:r>
        <w:t xml:space="preserve">Track action items from PHAs, incident investigations, and audits</w:t>
      </w:r>
    </w:p>
    <w:p>
      <w:pPr>
        <w:pStyle w:val="Heading2"/>
      </w:pPr>
      <w:r>
        <w:t xml:space="preserve">4.3 Process Employees</w:t>
      </w:r>
    </w:p>
    <w:p>
      <w:pPr>
        <w:pStyle w:val="ListParagraph"/>
        <w:numPr>
          <w:ilvl w:val="0"/>
          <w:numId w:val="2"/>
        </w:numPr>
        <w:spacing w:after="60"/>
      </w:pPr>
      <w:r>
        <w:t xml:space="preserve">Participate in process hazard analyses</w:t>
      </w:r>
    </w:p>
    <w:p>
      <w:pPr>
        <w:pStyle w:val="ListParagraph"/>
        <w:numPr>
          <w:ilvl w:val="0"/>
          <w:numId w:val="2"/>
        </w:numPr>
        <w:spacing w:after="60"/>
      </w:pPr>
      <w:r>
        <w:t xml:space="preserve">Follow operating procedures and safe work practices</w:t>
      </w:r>
    </w:p>
    <w:p>
      <w:pPr>
        <w:pStyle w:val="ListParagraph"/>
        <w:numPr>
          <w:ilvl w:val="0"/>
          <w:numId w:val="2"/>
        </w:numPr>
        <w:spacing w:after="60"/>
      </w:pPr>
      <w:r>
        <w:t xml:space="preserve">Report process safety concerns and near-misses</w:t>
      </w:r>
    </w:p>
    <w:p>
      <w:pPr>
        <w:pStyle w:val="ListParagraph"/>
        <w:numPr>
          <w:ilvl w:val="0"/>
          <w:numId w:val="2"/>
        </w:numPr>
        <w:spacing w:after="60"/>
      </w:pPr>
      <w:r>
        <w:t xml:space="preserve">Complete required PSM training</w:t>
      </w:r>
    </w:p>
    <w:p>
      <w:pPr>
        <w:pStyle w:val="Heading2"/>
      </w:pPr>
      <w:r>
        <w:t xml:space="preserve">4.4 Contractors</w:t>
      </w:r>
    </w:p>
    <w:p>
      <w:pPr>
        <w:pStyle w:val="ListParagraph"/>
        <w:numPr>
          <w:ilvl w:val="0"/>
          <w:numId w:val="2"/>
        </w:numPr>
        <w:spacing w:after="60"/>
      </w:pPr>
      <w:r>
        <w:t xml:space="preserve">Follow all applicable PSM requirements</w:t>
      </w:r>
    </w:p>
    <w:p>
      <w:pPr>
        <w:pStyle w:val="ListParagraph"/>
        <w:numPr>
          <w:ilvl w:val="0"/>
          <w:numId w:val="2"/>
        </w:numPr>
        <w:spacing w:after="60"/>
      </w:pPr>
      <w:r>
        <w:t xml:space="preserve">Ensure contract employees are trained on process hazards</w:t>
      </w:r>
    </w:p>
    <w:p>
      <w:pPr>
        <w:pStyle w:val="ListParagraph"/>
        <w:numPr>
          <w:ilvl w:val="0"/>
          <w:numId w:val="2"/>
        </w:numPr>
        <w:spacing w:after="60"/>
      </w:pPr>
      <w:r>
        <w:t xml:space="preserve">Report injuries, illnesses, and incidents</w:t>
      </w:r>
    </w:p>
    <w:p>
      <w:r>
        <w:br w:type="page"/>
      </w:r>
    </w:p>
    <w:p>
      <w:pPr>
        <w:pStyle w:val="Heading1"/>
      </w:pPr>
      <w:r>
        <w:t xml:space="preserve">5. The 14 Elements of Process Safety Management</w:t>
      </w:r>
    </w:p>
    <w:p>
      <w:pPr>
        <w:pStyle w:val="Heading2"/>
      </w:pPr>
      <w:r>
        <w:t xml:space="preserve">5.1 Employee Participation</w:t>
      </w:r>
    </w:p>
    <w:p>
      <w:pPr>
        <w:spacing w:after="120"/>
      </w:pPr>
      <w:r>
        <w:t xml:space="preserve">[COMPANY NAME] shall develop a written plan of action regarding employee participation in the PSM program. Employees shall be consulted on the conduct and development of process hazard analyses and the development of all other PSM elements. Employees shall have access to process hazard analyses and all other information required under PSM.</w:t>
      </w:r>
    </w:p>
    <w:p>
      <w:pPr>
        <w:pStyle w:val="Heading2"/>
      </w:pPr>
      <w:r>
        <w:t xml:space="preserve">5.2 Process Safety Information (PSI)</w:t>
      </w:r>
    </w:p>
    <w:p>
      <w:pPr>
        <w:spacing w:after="120"/>
      </w:pPr>
      <w:r>
        <w:t xml:space="preserve">Complete and accurate process safety information shall be compiled and maintained for each covered process, including:</w:t>
      </w:r>
    </w:p>
    <w:p>
      <w:pPr>
        <w:pStyle w:val="ListParagraph"/>
        <w:numPr>
          <w:ilvl w:val="0"/>
          <w:numId w:val="2"/>
        </w:numPr>
        <w:spacing w:after="60"/>
      </w:pPr>
      <w:r>
        <w:t xml:space="preserve">Hazards of chemicals used — MSDS/SDS data, permissible exposure limits, physical and reactivity data</w:t>
      </w:r>
    </w:p>
    <w:p>
      <w:pPr>
        <w:pStyle w:val="ListParagraph"/>
        <w:numPr>
          <w:ilvl w:val="0"/>
          <w:numId w:val="2"/>
        </w:numPr>
        <w:spacing w:after="60"/>
      </w:pPr>
      <w:r>
        <w:t xml:space="preserve">Process technology — block flow or process flow diagrams, process chemistry, safe operating limits, consequences of deviation</w:t>
      </w:r>
    </w:p>
    <w:p>
      <w:pPr>
        <w:pStyle w:val="ListParagraph"/>
        <w:numPr>
          <w:ilvl w:val="0"/>
          <w:numId w:val="2"/>
        </w:numPr>
        <w:spacing w:after="60"/>
      </w:pPr>
      <w:r>
        <w:t xml:space="preserve">Process equipment — materials of construction, P&amp;IDs, electrical classification, relief system design, ventilation design, safety systems</w:t>
      </w:r>
    </w:p>
    <w:p>
      <w:pPr>
        <w:pStyle w:val="Heading2"/>
      </w:pPr>
      <w:r>
        <w:t xml:space="preserve">5.3 Process Hazard Analysis (PHA)</w:t>
      </w:r>
    </w:p>
    <w:p>
      <w:pPr>
        <w:spacing w:after="120"/>
      </w:pPr>
      <w:r>
        <w:t xml:space="preserve">An initial PHA shall be performed for each covered process using one or more of the following methodologies:</w:t>
      </w:r>
    </w:p>
    <w:p>
      <w:pPr>
        <w:pStyle w:val="ListParagraph"/>
        <w:numPr>
          <w:ilvl w:val="0"/>
          <w:numId w:val="2"/>
        </w:numPr>
        <w:spacing w:after="60"/>
      </w:pPr>
      <w:r>
        <w:t xml:space="preserve">What-If Analysis</w:t>
      </w:r>
    </w:p>
    <w:p>
      <w:pPr>
        <w:pStyle w:val="ListParagraph"/>
        <w:numPr>
          <w:ilvl w:val="0"/>
          <w:numId w:val="2"/>
        </w:numPr>
        <w:spacing w:after="60"/>
      </w:pPr>
      <w:r>
        <w:t xml:space="preserve">Checklist Analysis</w:t>
      </w:r>
    </w:p>
    <w:p>
      <w:pPr>
        <w:pStyle w:val="ListParagraph"/>
        <w:numPr>
          <w:ilvl w:val="0"/>
          <w:numId w:val="2"/>
        </w:numPr>
        <w:spacing w:after="60"/>
      </w:pPr>
      <w:r>
        <w:t xml:space="preserve">What-If/Checklist</w:t>
      </w:r>
    </w:p>
    <w:p>
      <w:pPr>
        <w:pStyle w:val="ListParagraph"/>
        <w:numPr>
          <w:ilvl w:val="0"/>
          <w:numId w:val="2"/>
        </w:numPr>
        <w:spacing w:after="60"/>
      </w:pPr>
      <w:r>
        <w:t xml:space="preserve">Hazard and Operability Study (HAZOP)</w:t>
      </w:r>
    </w:p>
    <w:p>
      <w:pPr>
        <w:pStyle w:val="ListParagraph"/>
        <w:numPr>
          <w:ilvl w:val="0"/>
          <w:numId w:val="2"/>
        </w:numPr>
        <w:spacing w:after="60"/>
      </w:pPr>
      <w:r>
        <w:t xml:space="preserve">Failure Mode and Effects Analysis (FMEA)</w:t>
      </w:r>
    </w:p>
    <w:p>
      <w:pPr>
        <w:pStyle w:val="ListParagraph"/>
        <w:numPr>
          <w:ilvl w:val="0"/>
          <w:numId w:val="2"/>
        </w:numPr>
        <w:spacing w:after="60"/>
      </w:pPr>
      <w:r>
        <w:t xml:space="preserve">Fault Tree Analysis</w:t>
      </w:r>
    </w:p>
    <w:p>
      <w:pPr>
        <w:spacing w:after="0"/>
      </w:pPr>
    </w:p>
    <w:p>
      <w:pPr>
        <w:spacing w:after="120"/>
      </w:pPr>
      <w:r>
        <w:t xml:space="preserve">PHAs shall address hazards of the process, engineering and administrative controls, consequences of failure, facility siting, human factors, and evaluation of previous incidents. PHAs shall be updated and revalidated at least every 5 years.</w:t>
      </w:r>
    </w:p>
    <w:p>
      <w:pPr>
        <w:pStyle w:val="Heading2"/>
      </w:pPr>
      <w:r>
        <w:t xml:space="preserve">5.4 Operating Procedures</w:t>
      </w:r>
    </w:p>
    <w:p>
      <w:pPr>
        <w:spacing w:after="120"/>
      </w:pPr>
      <w:r>
        <w:t xml:space="preserve">Written operating procedures shall be developed and maintained for each covered process, addressing:</w:t>
      </w:r>
    </w:p>
    <w:p>
      <w:pPr>
        <w:pStyle w:val="ListParagraph"/>
        <w:numPr>
          <w:ilvl w:val="0"/>
          <w:numId w:val="2"/>
        </w:numPr>
        <w:spacing w:after="60"/>
      </w:pPr>
      <w:r>
        <w:t xml:space="preserve">Steps for each operating phase (startup, normal, temporary, emergency shutdown, normal shutdown, startup after turnaround)</w:t>
      </w:r>
    </w:p>
    <w:p>
      <w:pPr>
        <w:pStyle w:val="ListParagraph"/>
        <w:numPr>
          <w:ilvl w:val="0"/>
          <w:numId w:val="2"/>
        </w:numPr>
        <w:spacing w:after="60"/>
      </w:pPr>
      <w:r>
        <w:t xml:space="preserve">Operating limits and consequences of deviation</w:t>
      </w:r>
    </w:p>
    <w:p>
      <w:pPr>
        <w:pStyle w:val="ListParagraph"/>
        <w:numPr>
          <w:ilvl w:val="0"/>
          <w:numId w:val="2"/>
        </w:numPr>
        <w:spacing w:after="60"/>
      </w:pPr>
      <w:r>
        <w:t xml:space="preserve">Safety and health considerations (properties/hazards of chemicals, PPE, exposure controls, safety systems)</w:t>
      </w:r>
    </w:p>
    <w:p>
      <w:pPr>
        <w:spacing w:after="0"/>
      </w:pPr>
    </w:p>
    <w:p>
      <w:pPr>
        <w:spacing w:after="120"/>
      </w:pPr>
      <w:r>
        <w:t xml:space="preserve">Operating procedures shall be reviewed as often as necessary and certified annually.</w:t>
      </w:r>
    </w:p>
    <w:p>
      <w:pPr>
        <w:pStyle w:val="Heading2"/>
      </w:pPr>
      <w:r>
        <w:t xml:space="preserve">5.5 Training</w:t>
      </w:r>
    </w:p>
    <w:p>
      <w:pPr>
        <w:spacing w:after="120"/>
      </w:pPr>
      <w:r>
        <w:t xml:space="preserve">Each employee involved in operating a covered process shall be trained in an overview of the process and the operating procedures. Training shall include emphasis on specific safety and health hazards, emergency operations, and safe work practices. Refresher training shall be provided at least every 3 years. Training documentation shall be maintained.</w:t>
      </w:r>
    </w:p>
    <w:p>
      <w:pPr>
        <w:pStyle w:val="Heading2"/>
      </w:pPr>
      <w:r>
        <w:t xml:space="preserve">5.6 Contractors</w:t>
      </w:r>
    </w:p>
    <w:p>
      <w:pPr>
        <w:spacing w:after="120"/>
      </w:pPr>
      <w:r>
        <w:t xml:space="preserve">[COMPANY NAME] shall establish and enforce requirements for contractor safety performance in covered process areas:</w:t>
      </w:r>
    </w:p>
    <w:p>
      <w:pPr>
        <w:pStyle w:val="ListParagraph"/>
        <w:numPr>
          <w:ilvl w:val="0"/>
          <w:numId w:val="2"/>
        </w:numPr>
        <w:spacing w:after="60"/>
      </w:pPr>
      <w:r>
        <w:t xml:space="preserve">Evaluate contractor safety performance and programs during selection</w:t>
      </w:r>
    </w:p>
    <w:p>
      <w:pPr>
        <w:pStyle w:val="ListParagraph"/>
        <w:numPr>
          <w:ilvl w:val="0"/>
          <w:numId w:val="2"/>
        </w:numPr>
        <w:spacing w:after="60"/>
      </w:pPr>
      <w:r>
        <w:t xml:space="preserve">Inform contractors of known potential fire, explosion, or toxic release hazards</w:t>
      </w:r>
    </w:p>
    <w:p>
      <w:pPr>
        <w:pStyle w:val="ListParagraph"/>
        <w:numPr>
          <w:ilvl w:val="0"/>
          <w:numId w:val="2"/>
        </w:numPr>
        <w:spacing w:after="60"/>
      </w:pPr>
      <w:r>
        <w:t xml:space="preserve">Explain the emergency action plan to contractors</w:t>
      </w:r>
    </w:p>
    <w:p>
      <w:pPr>
        <w:pStyle w:val="ListParagraph"/>
        <w:numPr>
          <w:ilvl w:val="0"/>
          <w:numId w:val="2"/>
        </w:numPr>
        <w:spacing w:after="60"/>
      </w:pPr>
      <w:r>
        <w:t xml:space="preserve">Develop and implement safe work practices for contractors</w:t>
      </w:r>
    </w:p>
    <w:p>
      <w:pPr>
        <w:pStyle w:val="ListParagraph"/>
        <w:numPr>
          <w:ilvl w:val="0"/>
          <w:numId w:val="2"/>
        </w:numPr>
        <w:spacing w:after="60"/>
      </w:pPr>
      <w:r>
        <w:t xml:space="preserve">Periodically evaluate contractor safety performance</w:t>
      </w:r>
    </w:p>
    <w:p>
      <w:pPr>
        <w:pStyle w:val="ListParagraph"/>
        <w:numPr>
          <w:ilvl w:val="0"/>
          <w:numId w:val="2"/>
        </w:numPr>
        <w:spacing w:after="60"/>
      </w:pPr>
      <w:r>
        <w:t xml:space="preserve">Maintain a contract employee injury/illness log</w:t>
      </w:r>
    </w:p>
    <w:p>
      <w:r>
        <w:br w:type="page"/>
      </w:r>
    </w:p>
    <w:p>
      <w:pPr>
        <w:pStyle w:val="Heading2"/>
      </w:pPr>
      <w:r>
        <w:t xml:space="preserve">5.7 Pre-Startup Safety Review (PSSR)</w:t>
      </w:r>
    </w:p>
    <w:p>
      <w:pPr>
        <w:spacing w:after="120"/>
      </w:pPr>
      <w:r>
        <w:t xml:space="preserve">A pre-startup safety review shall be performed for new facilities and for modified facilities when the modification is significant enough to require a change in process safety information. The PSSR shall confirm:</w:t>
      </w:r>
    </w:p>
    <w:p>
      <w:pPr>
        <w:pStyle w:val="ListParagraph"/>
        <w:numPr>
          <w:ilvl w:val="0"/>
          <w:numId w:val="2"/>
        </w:numPr>
        <w:spacing w:after="60"/>
      </w:pPr>
      <w:r>
        <w:t xml:space="preserve">Construction and equipment are in accordance with design specifications</w:t>
      </w:r>
    </w:p>
    <w:p>
      <w:pPr>
        <w:pStyle w:val="ListParagraph"/>
        <w:numPr>
          <w:ilvl w:val="0"/>
          <w:numId w:val="2"/>
        </w:numPr>
        <w:spacing w:after="60"/>
      </w:pPr>
      <w:r>
        <w:t xml:space="preserve">Safety, operating, maintenance, and emergency procedures are in place and adequate</w:t>
      </w:r>
    </w:p>
    <w:p>
      <w:pPr>
        <w:pStyle w:val="ListParagraph"/>
        <w:numPr>
          <w:ilvl w:val="0"/>
          <w:numId w:val="2"/>
        </w:numPr>
        <w:spacing w:after="60"/>
      </w:pPr>
      <w:r>
        <w:t xml:space="preserve">A PHA has been performed for new facilities and recommendations resolved</w:t>
      </w:r>
    </w:p>
    <w:p>
      <w:pPr>
        <w:pStyle w:val="ListParagraph"/>
        <w:numPr>
          <w:ilvl w:val="0"/>
          <w:numId w:val="2"/>
        </w:numPr>
        <w:spacing w:after="60"/>
      </w:pPr>
      <w:r>
        <w:t xml:space="preserve">Modified facilities meet MOC requirements</w:t>
      </w:r>
    </w:p>
    <w:p>
      <w:pPr>
        <w:pStyle w:val="ListParagraph"/>
        <w:numPr>
          <w:ilvl w:val="0"/>
          <w:numId w:val="2"/>
        </w:numPr>
        <w:spacing w:after="60"/>
      </w:pPr>
      <w:r>
        <w:t xml:space="preserve">Training has been completed for affected employees</w:t>
      </w:r>
    </w:p>
    <w:p>
      <w:pPr>
        <w:pStyle w:val="Heading2"/>
      </w:pPr>
      <w:r>
        <w:t xml:space="preserve">5.8 Mechanical Integrity</w:t>
      </w:r>
    </w:p>
    <w:p>
      <w:pPr>
        <w:spacing w:after="120"/>
      </w:pPr>
      <w:r>
        <w:t xml:space="preserve">A mechanical integrity program shall be established for process equipment including:</w:t>
      </w:r>
    </w:p>
    <w:p>
      <w:pPr>
        <w:pStyle w:val="ListParagraph"/>
        <w:numPr>
          <w:ilvl w:val="0"/>
          <w:numId w:val="2"/>
        </w:numPr>
        <w:spacing w:after="60"/>
      </w:pPr>
      <w:r>
        <w:t xml:space="preserve">Pressure vessels and storage tanks</w:t>
      </w:r>
    </w:p>
    <w:p>
      <w:pPr>
        <w:pStyle w:val="ListParagraph"/>
        <w:numPr>
          <w:ilvl w:val="0"/>
          <w:numId w:val="2"/>
        </w:numPr>
        <w:spacing w:after="60"/>
      </w:pPr>
      <w:r>
        <w:t xml:space="preserve">Piping systems (including components)</w:t>
      </w:r>
    </w:p>
    <w:p>
      <w:pPr>
        <w:pStyle w:val="ListParagraph"/>
        <w:numPr>
          <w:ilvl w:val="0"/>
          <w:numId w:val="2"/>
        </w:numPr>
        <w:spacing w:after="60"/>
      </w:pPr>
      <w:r>
        <w:t xml:space="preserve">Relief and vent systems and devices</w:t>
      </w:r>
    </w:p>
    <w:p>
      <w:pPr>
        <w:pStyle w:val="ListParagraph"/>
        <w:numPr>
          <w:ilvl w:val="0"/>
          <w:numId w:val="2"/>
        </w:numPr>
        <w:spacing w:after="60"/>
      </w:pPr>
      <w:r>
        <w:t xml:space="preserve">Emergency shutdown systems</w:t>
      </w:r>
    </w:p>
    <w:p>
      <w:pPr>
        <w:pStyle w:val="ListParagraph"/>
        <w:numPr>
          <w:ilvl w:val="0"/>
          <w:numId w:val="2"/>
        </w:numPr>
        <w:spacing w:after="60"/>
      </w:pPr>
      <w:r>
        <w:t xml:space="preserve">Controls (monitoring devices, sensors, alarms, interlocks)</w:t>
      </w:r>
    </w:p>
    <w:p>
      <w:pPr>
        <w:pStyle w:val="ListParagraph"/>
        <w:numPr>
          <w:ilvl w:val="0"/>
          <w:numId w:val="2"/>
        </w:numPr>
        <w:spacing w:after="60"/>
      </w:pPr>
      <w:r>
        <w:t xml:space="preserve">Pumps and rotating equipment</w:t>
      </w:r>
    </w:p>
    <w:p>
      <w:pPr>
        <w:spacing w:after="0"/>
      </w:pPr>
    </w:p>
    <w:p>
      <w:pPr>
        <w:spacing w:after="120"/>
      </w:pPr>
      <w:r>
        <w:t xml:space="preserve">The program shall include written maintenance procedures, training for maintenance personnel, inspections and tests per recognized codes/standards (API, ASME, NFPA), deficiency correction, and quality assurance for equipment fabrication and installation.</w:t>
      </w:r>
    </w:p>
    <w:p>
      <w:pPr>
        <w:pStyle w:val="Heading2"/>
      </w:pPr>
      <w:r>
        <w:t xml:space="preserve">5.9 Hot Work Permit</w:t>
      </w:r>
    </w:p>
    <w:p>
      <w:pPr>
        <w:spacing w:after="120"/>
      </w:pPr>
      <w:r>
        <w:t xml:space="preserve">A hot work permit shall be issued for all hot work operations conducted on or near a covered process. The permit shall document that fire prevention and protection requirements have been implemented prior to beginning hot work and that the work area has been inspected for potential fire hazards.</w:t>
      </w:r>
    </w:p>
    <w:p>
      <w:pPr>
        <w:pStyle w:val="Heading2"/>
      </w:pPr>
      <w:r>
        <w:t xml:space="preserve">5.10 Management of Change (MOC)</w:t>
      </w:r>
    </w:p>
    <w:p>
      <w:pPr>
        <w:spacing w:after="120"/>
      </w:pPr>
      <w:r>
        <w:t xml:space="preserve">[COMPANY NAME] shall establish and implement written procedures to manage changes to process chemicals, technology, equipment, and procedures (excluding "replacement in kind"). The MOC procedure shall address:</w:t>
      </w:r>
    </w:p>
    <w:p>
      <w:pPr>
        <w:pStyle w:val="ListParagraph"/>
        <w:numPr>
          <w:ilvl w:val="0"/>
          <w:numId w:val="2"/>
        </w:numPr>
        <w:spacing w:after="60"/>
      </w:pPr>
      <w:r>
        <w:t xml:space="preserve">The technical basis for the proposed change</w:t>
      </w:r>
    </w:p>
    <w:p>
      <w:pPr>
        <w:pStyle w:val="ListParagraph"/>
        <w:numPr>
          <w:ilvl w:val="0"/>
          <w:numId w:val="2"/>
        </w:numPr>
        <w:spacing w:after="60"/>
      </w:pPr>
      <w:r>
        <w:t xml:space="preserve">Impact on safety and health</w:t>
      </w:r>
    </w:p>
    <w:p>
      <w:pPr>
        <w:pStyle w:val="ListParagraph"/>
        <w:numPr>
          <w:ilvl w:val="0"/>
          <w:numId w:val="2"/>
        </w:numPr>
        <w:spacing w:after="60"/>
      </w:pPr>
      <w:r>
        <w:t xml:space="preserve">Modifications to operating procedures</w:t>
      </w:r>
    </w:p>
    <w:p>
      <w:pPr>
        <w:pStyle w:val="ListParagraph"/>
        <w:numPr>
          <w:ilvl w:val="0"/>
          <w:numId w:val="2"/>
        </w:numPr>
        <w:spacing w:after="60"/>
      </w:pPr>
      <w:r>
        <w:t xml:space="preserve">Necessary time period for the change</w:t>
      </w:r>
    </w:p>
    <w:p>
      <w:pPr>
        <w:pStyle w:val="ListParagraph"/>
        <w:numPr>
          <w:ilvl w:val="0"/>
          <w:numId w:val="2"/>
        </w:numPr>
        <w:spacing w:after="60"/>
      </w:pPr>
      <w:r>
        <w:t xml:space="preserve">Authorization requirements</w:t>
      </w:r>
    </w:p>
    <w:p>
      <w:pPr>
        <w:spacing w:after="0"/>
      </w:pPr>
    </w:p>
    <w:p>
      <w:pPr>
        <w:spacing w:after="120"/>
      </w:pPr>
      <w:r>
        <w:t xml:space="preserve">Employees and contractors whose tasks will be affected by the change shall be informed and trained before startup. Process safety information and operating procedures shall be updated. See Appendix A for the MOC Request Form.</w:t>
      </w:r>
    </w:p>
    <w:p>
      <w:pPr>
        <w:pStyle w:val="Heading2"/>
      </w:pPr>
      <w:r>
        <w:t xml:space="preserve">5.11 Incident Investigation</w:t>
      </w:r>
    </w:p>
    <w:p>
      <w:pPr>
        <w:spacing w:after="120"/>
      </w:pPr>
      <w:r>
        <w:t xml:space="preserve">Each incident that resulted in, or could reasonably have resulted in, a catastrophic release of a highly hazardous chemical shall be investigated. Investigations shall be initiated within 48 hours, and the team shall include at least one person knowledgeable in the process and a contract employee if the incident involved contractor work.</w:t>
      </w:r>
    </w:p>
    <w:p>
      <w:pPr>
        <w:spacing w:after="120"/>
      </w:pPr>
      <w:r>
        <w:t xml:space="preserve">Investigation reports shall include date, description, factors contributing to the incident, and recommendations. Reports shall be reviewed with affected personnel, and findings/recommendations shall be addressed promptly. Reports shall be retained for 5 years.</w:t>
      </w:r>
    </w:p>
    <w:p>
      <w:pPr>
        <w:pStyle w:val="Heading2"/>
      </w:pPr>
      <w:r>
        <w:t xml:space="preserve">5.12 Emergency Planning and Response</w:t>
      </w:r>
    </w:p>
    <w:p>
      <w:pPr>
        <w:spacing w:after="120"/>
      </w:pPr>
      <w:r>
        <w:t xml:space="preserve">An emergency action plan shall be established for the entire plant in accordance with 29 CFR 1910.38. The plan shall include procedures for handling small releases and shall address evacuation routes, alarm systems, emergency response contacts, and coordination with local emergency responders.</w:t>
      </w:r>
    </w:p>
    <w:p>
      <w:r>
        <w:br w:type="page"/>
      </w:r>
    </w:p>
    <w:p>
      <w:pPr>
        <w:pStyle w:val="Heading2"/>
      </w:pPr>
      <w:r>
        <w:t xml:space="preserve">5.13 Compliance Audits</w:t>
      </w:r>
    </w:p>
    <w:p>
      <w:pPr>
        <w:spacing w:after="120"/>
      </w:pPr>
      <w:r>
        <w:t xml:space="preserve">[COMPANY NAME] shall certify that the PSM program has been evaluated at least every 3 years to verify that procedures and practices are adequate and being followed. Audit findings and recommendations shall be documented, and the employer shall promptly determine and document an appropriate response. The two most recent audit reports shall be retained.</w:t>
      </w:r>
    </w:p>
    <w:p>
      <w:pPr>
        <w:pStyle w:val="Heading2"/>
      </w:pPr>
      <w:r>
        <w:t xml:space="preserve">5.14 Trade Secrets</w:t>
      </w:r>
    </w:p>
    <w:p>
      <w:pPr>
        <w:spacing w:after="120"/>
      </w:pPr>
      <w:r>
        <w:t xml:space="preserve">Employees and their designated representatives shall have access to PSI and PHA information regardless of trade secret claims. [COMPANY NAME] may require confidentiality agreements as permitted under 29 CFR 1910.119(p), but shall not withhold information necessary for compliance with PSM requirements.</w:t>
      </w:r>
    </w:p>
    <w:p>
      <w:pPr>
        <w:pStyle w:val="Heading1"/>
      </w:pPr>
      <w:r>
        <w:t xml:space="preserve">6. Training Requirements</w:t>
      </w:r>
    </w:p>
    <w:p>
      <w:pPr>
        <w:spacing w:after="120"/>
      </w:pPr>
      <w:r>
        <w:t xml:space="preserve">PSM-related training shall include:</w:t>
      </w:r>
    </w:p>
    <w:p>
      <w:pPr>
        <w:pStyle w:val="ListParagraph"/>
        <w:numPr>
          <w:ilvl w:val="0"/>
          <w:numId w:val="2"/>
        </w:numPr>
        <w:spacing w:after="60"/>
      </w:pPr>
      <w:r>
        <w:t xml:space="preserve">Initial PSM overview training for all affected employees before assignment</w:t>
      </w:r>
    </w:p>
    <w:p>
      <w:pPr>
        <w:pStyle w:val="ListParagraph"/>
        <w:numPr>
          <w:ilvl w:val="0"/>
          <w:numId w:val="2"/>
        </w:numPr>
        <w:spacing w:after="60"/>
      </w:pPr>
      <w:r>
        <w:t xml:space="preserve">Process-specific training on operating procedures and safety systems</w:t>
      </w:r>
    </w:p>
    <w:p>
      <w:pPr>
        <w:pStyle w:val="ListParagraph"/>
        <w:numPr>
          <w:ilvl w:val="0"/>
          <w:numId w:val="2"/>
        </w:numPr>
        <w:spacing w:after="60"/>
      </w:pPr>
      <w:r>
        <w:t xml:space="preserve">Refresher training at least every 3 years</w:t>
      </w:r>
    </w:p>
    <w:p>
      <w:pPr>
        <w:pStyle w:val="ListParagraph"/>
        <w:numPr>
          <w:ilvl w:val="0"/>
          <w:numId w:val="2"/>
        </w:numPr>
        <w:spacing w:after="60"/>
      </w:pPr>
      <w:r>
        <w:t xml:space="preserve">Training whenever there are changes (MOC, new hazards, updated procedures)</w:t>
      </w:r>
    </w:p>
    <w:p>
      <w:pPr>
        <w:pStyle w:val="ListParagraph"/>
        <w:numPr>
          <w:ilvl w:val="0"/>
          <w:numId w:val="2"/>
        </w:numPr>
        <w:spacing w:after="60"/>
      </w:pPr>
      <w:r>
        <w:t xml:space="preserve">Contractor orientation covering process hazards and emergency procedures</w:t>
      </w:r>
    </w:p>
    <w:p>
      <w:pPr>
        <w:spacing w:after="0"/>
      </w:pPr>
    </w:p>
    <w:p>
      <w:pPr>
        <w:spacing w:after="120"/>
      </w:pPr>
      <w:r>
        <w:t xml:space="preserve">Training records, including the identity of the employee, date of training, and means used to verify comprehension, shall be maintained for each employee.</w:t>
      </w:r>
    </w:p>
    <w:p>
      <w:pPr>
        <w:pStyle w:val="Heading1"/>
      </w:pPr>
      <w:r>
        <w:t xml:space="preserve">7. Recordkeeping</w:t>
      </w:r>
    </w:p>
    <w:p>
      <w:pPr>
        <w:pStyle w:val="ListParagraph"/>
        <w:numPr>
          <w:ilvl w:val="0"/>
          <w:numId w:val="2"/>
        </w:numPr>
        <w:spacing w:after="60"/>
      </w:pPr>
      <w:r>
        <w:t xml:space="preserve">Process safety information: maintained current for the life of the process</w:t>
      </w:r>
    </w:p>
    <w:p>
      <w:pPr>
        <w:pStyle w:val="ListParagraph"/>
        <w:numPr>
          <w:ilvl w:val="0"/>
          <w:numId w:val="2"/>
        </w:numPr>
        <w:spacing w:after="60"/>
      </w:pPr>
      <w:r>
        <w:t xml:space="preserve">Process hazard analyses: retained for the life of the process</w:t>
      </w:r>
    </w:p>
    <w:p>
      <w:pPr>
        <w:pStyle w:val="ListParagraph"/>
        <w:numPr>
          <w:ilvl w:val="0"/>
          <w:numId w:val="2"/>
        </w:numPr>
        <w:spacing w:after="60"/>
      </w:pPr>
      <w:r>
        <w:t xml:space="preserve">Operating procedures: certified annually, updated as needed</w:t>
      </w:r>
    </w:p>
    <w:p>
      <w:pPr>
        <w:pStyle w:val="ListParagraph"/>
        <w:numPr>
          <w:ilvl w:val="0"/>
          <w:numId w:val="2"/>
        </w:numPr>
        <w:spacing w:after="60"/>
      </w:pPr>
      <w:r>
        <w:t xml:space="preserve">Training records: maintained for each employee for duration of employment</w:t>
      </w:r>
    </w:p>
    <w:p>
      <w:pPr>
        <w:pStyle w:val="ListParagraph"/>
        <w:numPr>
          <w:ilvl w:val="0"/>
          <w:numId w:val="2"/>
        </w:numPr>
        <w:spacing w:after="60"/>
      </w:pPr>
      <w:r>
        <w:t xml:space="preserve">Mechanical integrity records: per applicable codes and standards</w:t>
      </w:r>
    </w:p>
    <w:p>
      <w:pPr>
        <w:pStyle w:val="ListParagraph"/>
        <w:numPr>
          <w:ilvl w:val="0"/>
          <w:numId w:val="2"/>
        </w:numPr>
        <w:spacing w:after="60"/>
      </w:pPr>
      <w:r>
        <w:t xml:space="preserve">MOC documentation: retained for the life of the process</w:t>
      </w:r>
    </w:p>
    <w:p>
      <w:pPr>
        <w:pStyle w:val="ListParagraph"/>
        <w:numPr>
          <w:ilvl w:val="0"/>
          <w:numId w:val="2"/>
        </w:numPr>
        <w:spacing w:after="60"/>
      </w:pPr>
      <w:r>
        <w:t xml:space="preserve">Incident investigation reports: retained for 5 years</w:t>
      </w:r>
    </w:p>
    <w:p>
      <w:pPr>
        <w:pStyle w:val="ListParagraph"/>
        <w:numPr>
          <w:ilvl w:val="0"/>
          <w:numId w:val="2"/>
        </w:numPr>
        <w:spacing w:after="60"/>
      </w:pPr>
      <w:r>
        <w:t xml:space="preserve">Compliance audit reports: two most recent audits retained</w:t>
      </w:r>
    </w:p>
    <w:p>
      <w:pPr>
        <w:pStyle w:val="ListParagraph"/>
        <w:numPr>
          <w:ilvl w:val="0"/>
          <w:numId w:val="2"/>
        </w:numPr>
        <w:spacing w:after="60"/>
      </w:pPr>
      <w:r>
        <w:t xml:space="preserve">Pre-startup safety reviews: retained for the life of the process</w:t>
      </w:r>
    </w:p>
    <w:p>
      <w:pPr>
        <w:pStyle w:val="ListParagraph"/>
        <w:numPr>
          <w:ilvl w:val="0"/>
          <w:numId w:val="2"/>
        </w:numPr>
        <w:spacing w:after="60"/>
      </w:pPr>
      <w:r>
        <w:t xml:space="preserve">Hot work permits: retained for 1 year minimum</w:t>
      </w:r>
    </w:p>
    <w:p>
      <w:r>
        <w:br w:type="page"/>
      </w:r>
    </w:p>
    <w:p>
      <w:pPr>
        <w:pStyle w:val="Heading1"/>
      </w:pPr>
      <w:r>
        <w:t xml:space="preserve">Appendix A: Management of Change Request Form</w:t>
      </w:r>
    </w:p>
    <w:p>
      <w:pPr>
        <w:spacing w:after="120"/>
        <w:rPr>
          <w:i/>
          <w:iCs/>
          <w:color w:val="666666"/>
        </w:rPr>
      </w:pPr>
      <w:r>
        <w:rPr>
          <w:i/>
          <w:iCs/>
          <w:color w:val="666666"/>
        </w:rPr>
        <w:t xml:space="preserve">Complete this form for all proposed changes to process chemicals, technology, equipment, or procedures.</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b/>
                <w:bCs/>
                <w:sz w:val="20"/>
                <w:szCs w:val="20"/>
              </w:rPr>
              <w:t xml:space="preserve">MOC Number:</w:t>
            </w:r>
          </w:p>
        </w:tc>
        <w:tc>
          <w:tcPr>
            <w:tcW w:type="dxa" w:w="63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sz w:val="20"/>
                <w:szCs w:val="20"/>
              </w:rPr>
              <w:t xml:space="preserve"/>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b/>
                <w:bCs/>
                <w:sz w:val="20"/>
                <w:szCs w:val="20"/>
              </w:rPr>
              <w:t xml:space="preserve">Date Initiated:</w:t>
            </w:r>
          </w:p>
        </w:tc>
        <w:tc>
          <w:tcPr>
            <w:tcW w:type="dxa" w:w="63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sz w:val="20"/>
                <w:szCs w:val="20"/>
              </w:rPr>
              <w:t xml:space="preserve"/>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b/>
                <w:bCs/>
                <w:sz w:val="20"/>
                <w:szCs w:val="20"/>
              </w:rPr>
              <w:t xml:space="preserve">Requested by:</w:t>
            </w:r>
          </w:p>
        </w:tc>
        <w:tc>
          <w:tcPr>
            <w:tcW w:type="dxa" w:w="63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sz w:val="20"/>
                <w:szCs w:val="20"/>
              </w:rPr>
              <w:t xml:space="preserve"/>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b/>
                <w:bCs/>
                <w:sz w:val="20"/>
                <w:szCs w:val="20"/>
              </w:rPr>
              <w:t xml:space="preserve">Department/Area:</w:t>
            </w:r>
          </w:p>
        </w:tc>
        <w:tc>
          <w:tcPr>
            <w:tcW w:type="dxa" w:w="63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sz w:val="20"/>
                <w:szCs w:val="20"/>
              </w:rPr>
              <w:t xml:space="preserve"/>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b/>
                <w:bCs/>
                <w:sz w:val="20"/>
                <w:szCs w:val="20"/>
              </w:rPr>
              <w:t xml:space="preserve">Process Affected:</w:t>
            </w:r>
          </w:p>
        </w:tc>
        <w:tc>
          <w:tcPr>
            <w:tcW w:type="dxa" w:w="63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sz w:val="20"/>
                <w:szCs w:val="20"/>
              </w:rPr>
              <w:t xml:space="preserve"/>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b/>
                <w:bCs/>
                <w:sz w:val="20"/>
                <w:szCs w:val="20"/>
              </w:rPr>
              <w:t xml:space="preserve">Type of Change:</w:t>
            </w:r>
          </w:p>
        </w:tc>
        <w:tc>
          <w:tcPr>
            <w:tcW w:type="dxa" w:w="63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sz w:val="20"/>
                <w:szCs w:val="20"/>
              </w:rPr>
              <w:t xml:space="preserve"/>
            </w:r>
          </w:p>
        </w:tc>
      </w:tr>
    </w:tbl>
    <w:p>
      <w:pPr>
        <w:spacing w:after="0"/>
      </w:pPr>
    </w:p>
    <w:p>
      <w:pPr>
        <w:pStyle w:val="Heading2"/>
      </w:pPr>
      <w:r>
        <w:t xml:space="preserve">Description of Proposed Change</w:t>
      </w:r>
    </w:p>
    <w:p>
      <w:pPr>
        <w:spacing w:after="120"/>
      </w:pPr>
      <w:r>
        <w:t xml:space="preserve">________________________________________________________________________________</w:t>
      </w:r>
    </w:p>
    <w:p>
      <w:pPr>
        <w:spacing w:after="120"/>
      </w:pPr>
      <w:r>
        <w:t xml:space="preserve">________________________________________________________________________________</w:t>
      </w:r>
    </w:p>
    <w:p>
      <w:pPr>
        <w:spacing w:after="120"/>
      </w:pPr>
      <w:r>
        <w:t xml:space="preserve">________________________________________________________________________________</w:t>
      </w:r>
    </w:p>
    <w:p>
      <w:pPr>
        <w:spacing w:after="0"/>
      </w:pPr>
    </w:p>
    <w:p>
      <w:pPr>
        <w:pStyle w:val="Heading2"/>
      </w:pPr>
      <w:r>
        <w:t xml:space="preserve">Technical Basis for Change</w:t>
      </w:r>
    </w:p>
    <w:p>
      <w:pPr>
        <w:spacing w:after="120"/>
      </w:pPr>
      <w:r>
        <w:t xml:space="preserve">________________________________________________________________________________</w:t>
      </w:r>
    </w:p>
    <w:p>
      <w:pPr>
        <w:spacing w:after="120"/>
      </w:pPr>
      <w:r>
        <w:t xml:space="preserve">________________________________________________________________________________</w:t>
      </w:r>
    </w:p>
    <w:p>
      <w:pPr>
        <w:spacing w:after="0"/>
      </w:pPr>
    </w:p>
    <w:p>
      <w:pPr>
        <w:pStyle w:val="Heading2"/>
      </w:pPr>
      <w:r>
        <w:t xml:space="preserve">Safety and Health Impact Assessment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000"/>
        <w:gridCol w:w="1000"/>
        <w:gridCol w:w="4360"/>
      </w:tblGrid>
      <w:tr>
        <w:trPr>
          <w:tblHeader/>
        </w:trPr>
        <w:tc>
          <w:tcPr>
            <w:tcW w:type="dxa" w:w="40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Consideration</w:t>
            </w:r>
          </w:p>
        </w:tc>
        <w:tc>
          <w:tcPr>
            <w:tcW w:type="dxa" w:w="10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Y/N</w:t>
            </w:r>
          </w:p>
        </w:tc>
        <w:tc>
          <w:tcPr>
            <w:tcW w:type="dxa" w:w="43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Details</w:t>
            </w:r>
          </w:p>
        </w:tc>
      </w:tr>
      <w:tr>
        <w:tc>
          <w:tcPr>
            <w:tcW w:type="dxa" w:w="4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Does this change affect process chemistry?</w:t>
            </w:r>
          </w:p>
        </w:tc>
        <w:tc>
          <w:tcPr>
            <w:tcW w:type="dxa" w:w="1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4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4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Does this change affect operating limits?</w:t>
            </w:r>
          </w:p>
        </w:tc>
        <w:tc>
          <w:tcPr>
            <w:tcW w:type="dxa" w:w="1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4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4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Does this change require P&amp;ID update?</w:t>
            </w:r>
          </w:p>
        </w:tc>
        <w:tc>
          <w:tcPr>
            <w:tcW w:type="dxa" w:w="1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4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4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Does this change affect safety systems?</w:t>
            </w:r>
          </w:p>
        </w:tc>
        <w:tc>
          <w:tcPr>
            <w:tcW w:type="dxa" w:w="1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4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4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Is a PHA update required?</w:t>
            </w:r>
          </w:p>
        </w:tc>
        <w:tc>
          <w:tcPr>
            <w:tcW w:type="dxa" w:w="1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4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4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Are operating procedures affected?</w:t>
            </w:r>
          </w:p>
        </w:tc>
        <w:tc>
          <w:tcPr>
            <w:tcW w:type="dxa" w:w="1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4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4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Is employee/contractor training needed?</w:t>
            </w:r>
          </w:p>
        </w:tc>
        <w:tc>
          <w:tcPr>
            <w:tcW w:type="dxa" w:w="1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4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4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Is a PSSR required before startup?</w:t>
            </w:r>
          </w:p>
        </w:tc>
        <w:tc>
          <w:tcPr>
            <w:tcW w:type="dxa" w:w="1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4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4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Is this a permanent or temporary change?</w:t>
            </w:r>
          </w:p>
        </w:tc>
        <w:tc>
          <w:tcPr>
            <w:tcW w:type="dxa" w:w="1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4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bl>
    <w:p>
      <w:pPr>
        <w:spacing w:after="0"/>
      </w:pPr>
    </w:p>
    <w:p>
      <w:pPr>
        <w:pStyle w:val="Heading2"/>
      </w:pPr>
      <w:r>
        <w:t xml:space="preserve">Approvals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2500"/>
        <w:gridCol w:w="2860"/>
        <w:gridCol w:w="2000"/>
      </w:tblGrid>
      <w:tr>
        <w:trPr>
          <w:tblHeader/>
        </w:trPr>
        <w:tc>
          <w:tcPr>
            <w:tcW w:type="dxa" w:w="20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Role</w:t>
            </w:r>
          </w:p>
        </w:tc>
        <w:tc>
          <w:tcPr>
            <w:tcW w:type="dxa" w:w="25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Name</w:t>
            </w:r>
          </w:p>
        </w:tc>
        <w:tc>
          <w:tcPr>
            <w:tcW w:type="dxa" w:w="28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Signature</w:t>
            </w:r>
          </w:p>
        </w:tc>
        <w:tc>
          <w:tcPr>
            <w:tcW w:type="dxa" w:w="20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Date</w:t>
            </w:r>
          </w:p>
        </w:tc>
      </w:tr>
      <w:tr>
        <w:tc>
          <w:tcPr>
            <w:tcW w:type="dxa" w:w="2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Initiator</w:t>
            </w:r>
          </w:p>
        </w:tc>
        <w:tc>
          <w:tcPr>
            <w:tcW w:type="dxa" w:w="2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28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2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2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Area Supervisor</w:t>
            </w:r>
          </w:p>
        </w:tc>
        <w:tc>
          <w:tcPr>
            <w:tcW w:type="dxa" w:w="2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28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2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2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PSM Coordinator</w:t>
            </w:r>
          </w:p>
        </w:tc>
        <w:tc>
          <w:tcPr>
            <w:tcW w:type="dxa" w:w="2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28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2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2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Safety Manager</w:t>
            </w:r>
          </w:p>
        </w:tc>
        <w:tc>
          <w:tcPr>
            <w:tcW w:type="dxa" w:w="2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28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2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2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Plant Manager</w:t>
            </w:r>
          </w:p>
        </w:tc>
        <w:tc>
          <w:tcPr>
            <w:tcW w:type="dxa" w:w="2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28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2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bl>
    <w:p>
      <w:r>
        <w:br w:type="page"/>
      </w:r>
    </w:p>
    <w:p>
      <w:pPr>
        <w:pStyle w:val="Heading1"/>
      </w:pPr>
      <w:r>
        <w:t xml:space="preserve">Appendix B: Pre-Startup Safety Review Checklist</w:t>
      </w:r>
    </w:p>
    <w:p>
      <w:pPr>
        <w:spacing w:after="120"/>
        <w:rPr>
          <w:i/>
          <w:iCs/>
          <w:color w:val="666666"/>
        </w:rPr>
      </w:pPr>
      <w:r>
        <w:rPr>
          <w:i/>
          <w:iCs/>
          <w:color w:val="666666"/>
        </w:rPr>
        <w:t xml:space="preserve">Complete before startup of new or modified processes.</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b/>
                <w:bCs/>
                <w:sz w:val="20"/>
                <w:szCs w:val="20"/>
              </w:rPr>
              <w:t xml:space="preserve">PSSR Number:</w:t>
            </w:r>
          </w:p>
        </w:tc>
        <w:tc>
          <w:tcPr>
            <w:tcW w:type="dxa" w:w="63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sz w:val="20"/>
                <w:szCs w:val="20"/>
              </w:rPr>
              <w:t xml:space="preserve"/>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b/>
                <w:bCs/>
                <w:sz w:val="20"/>
                <w:szCs w:val="20"/>
              </w:rPr>
              <w:t xml:space="preserve">Date:</w:t>
            </w:r>
          </w:p>
        </w:tc>
        <w:tc>
          <w:tcPr>
            <w:tcW w:type="dxa" w:w="63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sz w:val="20"/>
                <w:szCs w:val="20"/>
              </w:rPr>
              <w:t xml:space="preserve"/>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b/>
                <w:bCs/>
                <w:sz w:val="20"/>
                <w:szCs w:val="20"/>
              </w:rPr>
              <w:t xml:space="preserve">Process/Unit:</w:t>
            </w:r>
          </w:p>
        </w:tc>
        <w:tc>
          <w:tcPr>
            <w:tcW w:type="dxa" w:w="63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sz w:val="20"/>
                <w:szCs w:val="20"/>
              </w:rPr>
              <w:t xml:space="preserve"/>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b/>
                <w:bCs/>
                <w:sz w:val="20"/>
                <w:szCs w:val="20"/>
              </w:rPr>
              <w:t xml:space="preserve">MOC Reference # (if applicable):</w:t>
            </w:r>
          </w:p>
        </w:tc>
        <w:tc>
          <w:tcPr>
            <w:tcW w:type="dxa" w:w="63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sz w:val="20"/>
                <w:szCs w:val="20"/>
              </w:rPr>
              <w:t xml:space="preserve"/>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b/>
                <w:bCs/>
                <w:sz w:val="20"/>
                <w:szCs w:val="20"/>
              </w:rPr>
              <w:t xml:space="preserve">Conducted by:</w:t>
            </w:r>
          </w:p>
        </w:tc>
        <w:tc>
          <w:tcPr>
            <w:tcW w:type="dxa" w:w="63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sz w:val="20"/>
                <w:szCs w:val="20"/>
              </w:rPr>
              <w:t xml:space="preserve"/>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b/>
                <w:bCs/>
                <w:sz w:val="20"/>
                <w:szCs w:val="20"/>
              </w:rPr>
              <w:t xml:space="preserve">Project Description:</w:t>
            </w:r>
          </w:p>
        </w:tc>
        <w:tc>
          <w:tcPr>
            <w:tcW w:type="dxa" w:w="63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sz w:val="20"/>
                <w:szCs w:val="20"/>
              </w:rPr>
              <w:t xml:space="preserve"/>
            </w:r>
          </w:p>
        </w:tc>
      </w:tr>
    </w:tbl>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1600"/>
        <w:gridCol w:w="1200"/>
        <w:gridCol w:w="3360"/>
      </w:tblGrid>
      <w:tr>
        <w:trPr>
          <w:tblHeader/>
        </w:trPr>
        <w:tc>
          <w:tcPr>
            <w:tcW w:type="dxa" w:w="32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Item</w:t>
            </w:r>
          </w:p>
        </w:tc>
        <w:tc>
          <w:tcPr>
            <w:tcW w:type="dxa" w:w="16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Verified? (Y/N/NA)</w:t>
            </w:r>
          </w:p>
        </w:tc>
        <w:tc>
          <w:tcPr>
            <w:tcW w:type="dxa" w:w="12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Initials</w:t>
            </w:r>
          </w:p>
        </w:tc>
        <w:tc>
          <w:tcPr>
            <w:tcW w:type="dxa" w:w="33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Comments</w:t>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Construction per design specifications</w:t>
            </w:r>
          </w:p>
        </w:tc>
        <w:tc>
          <w:tcPr>
            <w:tcW w:type="dxa" w:w="16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1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3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P&amp;IDs current and accurate</w:t>
            </w:r>
          </w:p>
        </w:tc>
        <w:tc>
          <w:tcPr>
            <w:tcW w:type="dxa" w:w="16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1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3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Safety systems functional and tested</w:t>
            </w:r>
          </w:p>
        </w:tc>
        <w:tc>
          <w:tcPr>
            <w:tcW w:type="dxa" w:w="16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1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3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Operating procedures updated</w:t>
            </w:r>
          </w:p>
        </w:tc>
        <w:tc>
          <w:tcPr>
            <w:tcW w:type="dxa" w:w="16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1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3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Maintenance procedures updated</w:t>
            </w:r>
          </w:p>
        </w:tc>
        <w:tc>
          <w:tcPr>
            <w:tcW w:type="dxa" w:w="16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1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3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Emergency procedures updated</w:t>
            </w:r>
          </w:p>
        </w:tc>
        <w:tc>
          <w:tcPr>
            <w:tcW w:type="dxa" w:w="16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1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3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PHA recommendations resolved</w:t>
            </w:r>
          </w:p>
        </w:tc>
        <w:tc>
          <w:tcPr>
            <w:tcW w:type="dxa" w:w="16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1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3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MOC requirements satisfied</w:t>
            </w:r>
          </w:p>
        </w:tc>
        <w:tc>
          <w:tcPr>
            <w:tcW w:type="dxa" w:w="16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1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3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Employee training completed</w:t>
            </w:r>
          </w:p>
        </w:tc>
        <w:tc>
          <w:tcPr>
            <w:tcW w:type="dxa" w:w="16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1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3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Safety interlocks tested</w:t>
            </w:r>
          </w:p>
        </w:tc>
        <w:tc>
          <w:tcPr>
            <w:tcW w:type="dxa" w:w="16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1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3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Relief devices installed and tested</w:t>
            </w:r>
          </w:p>
        </w:tc>
        <w:tc>
          <w:tcPr>
            <w:tcW w:type="dxa" w:w="16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1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3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Alarms functional and tested</w:t>
            </w:r>
          </w:p>
        </w:tc>
        <w:tc>
          <w:tcPr>
            <w:tcW w:type="dxa" w:w="16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1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3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Electrical classification verified</w:t>
            </w:r>
          </w:p>
        </w:tc>
        <w:tc>
          <w:tcPr>
            <w:tcW w:type="dxa" w:w="16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1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3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Ventilation systems operational</w:t>
            </w:r>
          </w:p>
        </w:tc>
        <w:tc>
          <w:tcPr>
            <w:tcW w:type="dxa" w:w="16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1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3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Fire protection systems operational</w:t>
            </w:r>
          </w:p>
        </w:tc>
        <w:tc>
          <w:tcPr>
            <w:tcW w:type="dxa" w:w="16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1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3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Process area clean and clear</w:t>
            </w:r>
          </w:p>
        </w:tc>
        <w:tc>
          <w:tcPr>
            <w:tcW w:type="dxa" w:w="16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1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3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Temporary items removed</w:t>
            </w:r>
          </w:p>
        </w:tc>
        <w:tc>
          <w:tcPr>
            <w:tcW w:type="dxa" w:w="16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1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3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As-built drawings available</w:t>
            </w:r>
          </w:p>
        </w:tc>
        <w:tc>
          <w:tcPr>
            <w:tcW w:type="dxa" w:w="16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1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3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bl>
    <w:p>
      <w:pPr>
        <w:spacing w:after="0"/>
      </w:pPr>
    </w:p>
    <w:p>
      <w:pPr>
        <w:pStyle w:val="Heading2"/>
      </w:pPr>
      <w:r>
        <w:t xml:space="preserve">Authorization to Start Up</w:t>
      </w:r>
    </w:p>
    <w:p>
      <w:pPr>
        <w:spacing w:after="120"/>
      </w:pPr>
      <w:r>
        <w:t xml:space="preserve">All items verified satisfactory. Process/unit is authorized for startup.</w:t>
      </w:r>
    </w:p>
    <w:p>
      <w:pPr>
        <w:spacing w:after="120"/>
      </w:pPr>
      <w:r>
        <w:t xml:space="preserve">Authorized by: ________________________  Signature: ________________________  Date: ______________</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8A838" w:sz="1"/>
            <w:left w:val="none" w:color="FFFFFF" w:sz="0"/>
            <w:bottom w:val="none" w:color="FFFFFF" w:sz="0"/>
            <w:right w:val="none" w:color="FFFFFF" w:sz="0"/>
          </w:tcBorders>
          <w:tcMar>
            <w:top w:type="dxa" w:w="60"/>
            <w:left w:type="dxa" w:w="0"/>
            <w:bottom w:type="dxa" w:w="0"/>
            <w:right w:type="dxa" w:w="0"/>
          </w:tcMar>
        </w:tcPr>
        <w:p>
          <w:pPr>
            <w:jc w:val="center"/>
          </w:pPr>
          <w:r>
            <w:rPr>
              <w:rFonts w:ascii="Calibri" w:cs="Calibri" w:eastAsia="Calibri" w:hAnsi="Calibri"/>
              <w:color w:val="666666"/>
              <w:sz w:val="16"/>
              <w:szCs w:val="16"/>
            </w:rPr>
            <w:t xml:space="preserve">Process Safety Management Program  |  [COMPANY NAME]  |  Page </w:t>
          </w:r>
          <w:r>
            <w:rPr>
              <w:color w:val="666666"/>
              <w:sz w:val="16"/>
              <w:szCs w:val="16"/>
            </w:rPr>
            <w:fldChar w:fldCharType="begin"/>
            <w:instrText xml:space="preserve">PAGE</w:instrText>
            <w:fldChar w:fldCharType="separate"/>
            <w:fldChar w:fldCharType="end"/>
          </w:r>
          <w:r>
            <w:rPr>
              <w:color w:val="666666"/>
              <w:sz w:val="16"/>
              <w:szCs w:val="16"/>
            </w:rPr>
            <w:t xml:space="preserve"> of </w:t>
          </w:r>
          <w:r>
            <w:rPr>
              <w:color w:val="666666"/>
              <w:sz w:val="16"/>
              <w:szCs w:val="16"/>
            </w:rPr>
            <w:fldChar w:fldCharType="begin"/>
            <w:instrText xml:space="preserve">NUMPAGES</w:instrText>
            <w:fldChar w:fldCharType="separate"/>
            <w:fldChar w:fldCharType="end"/>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2A4A" w:val="clear"/>
          <w:tcMar>
            <w:top w:type="dxa" w:w="60"/>
            <w:left w:type="dxa" w:w="120"/>
            <w:bottom w:type="dxa" w:w="60"/>
            <w:right w:type="dxa" w:w="120"/>
          </w:tcMar>
        </w:tcPr>
        <w:p>
          <w:pPr>
            <w:jc w:val="left"/>
          </w:pPr>
          <w:r>
            <w:rPr>
              <w:rFonts w:ascii="Calibri" w:cs="Calibri" w:eastAsia="Calibri" w:hAnsi="Calibri"/>
              <w:b/>
              <w:bCs/>
              <w:color w:val="FFFFFF"/>
              <w:sz w:val="20"/>
              <w:szCs w:val="20"/>
            </w:rPr>
            <w:t xml:space="preserve">FORBES SAFETY SOLUTIONS</w:t>
          </w:r>
        </w:p>
      </w:tc>
    </w:tr>
    <w:tr>
      <w:tc>
        <w:tcPr>
          <w:tcW w:type="dxa" w:w="936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spacing w:after="0" w:before="0"/>
          </w:pPr>
          <w:r>
            <w:rPr>
              <w:sz w:val="4"/>
              <w:szCs w:val="4"/>
            </w:rPr>
            <w:t xml:space="preserve"> </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08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decimal"/>
      <w:lvlText w:val="%1."/>
      <w:lvlJc w:val="left"/>
      <w:pPr>
        <w:ind w:left="720" w:hanging="360"/>
      </w:pPr>
    </w:lvl>
  </w:abstractNum>
  <w:abstractNum w:abstractNumId="5" w15:restartNumberingAfterBreak="0">
    <w:multiLevelType w:val="hybridMultilevel"/>
    <w:lvl w:ilvl="0" w15:tentative="1">
      <w:start w:val="1"/>
      <w:numFmt w:val="decimal"/>
      <w:lvlText w:val="%1."/>
      <w:lvlJc w:val="left"/>
      <w:pPr>
        <w:ind w:left="720" w:hanging="360"/>
      </w:pPr>
    </w:lvl>
  </w:abstractNum>
  <w:abstractNum w:abstractNumId="6" w15:restartNumberingAfterBreak="0">
    <w:multiLevelType w:val="hybridMultilevel"/>
    <w:lvl w:ilvl="0" w15:tentative="1">
      <w:start w:val="1"/>
      <w:numFmt w:val="decimal"/>
      <w:lvlText w:val="%1."/>
      <w:lvlJc w:val="left"/>
      <w:pPr>
        <w:ind w:left="720" w:hanging="360"/>
      </w:pPr>
    </w:lvl>
  </w:abstractNum>
  <w:abstractNum w:abstractNumId="7"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333333"/>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60"/>
      <w:outlineLvl w:val="0"/>
    </w:pPr>
    <w:rPr>
      <w:rFonts w:ascii="Calibri" w:cs="Calibri" w:eastAsia="Calibri" w:hAnsi="Calibri"/>
      <w:b/>
      <w:bCs/>
      <w:color w:val="1B2A4A"/>
      <w:sz w:val="32"/>
      <w:szCs w:val="32"/>
    </w:rPr>
  </w:style>
  <w:style w:type="paragraph" w:styleId="Heading2">
    <w:name w:val="Heading 2"/>
    <w:basedOn w:val="Normal"/>
    <w:next w:val="Normal"/>
    <w:qFormat/>
    <w:pPr>
      <w:spacing w:after="120" w:before="280"/>
      <w:outlineLvl w:val="1"/>
    </w:pPr>
    <w:rPr>
      <w:rFonts w:ascii="Calibri" w:cs="Calibri" w:eastAsia="Calibri" w:hAnsi="Calibri"/>
      <w:b/>
      <w:bCs/>
      <w:color w:val="1B2A4A"/>
      <w:sz w:val="26"/>
      <w:szCs w:val="26"/>
    </w:rPr>
  </w:style>
  <w:style w:type="paragraph" w:styleId="Heading3">
    <w:name w:val="Heading 3"/>
    <w:basedOn w:val="Normal"/>
    <w:next w:val="Normal"/>
    <w:qFormat/>
    <w:pPr>
      <w:spacing w:after="100" w:before="200"/>
      <w:outlineLvl w:val="2"/>
    </w:pPr>
    <w:rPr>
      <w:rFonts w:ascii="Calibri" w:cs="Calibri" w:eastAsia="Calibri" w:hAnsi="Calibri"/>
      <w:b/>
      <w:bCs/>
      <w:color w:val="444444"/>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2026-03-16T00:11:06.542Z</dcterms:created>
  <dcterms:modified xsi:type="dcterms:W3CDTF">2026-03-16T00:11:06.542Z</dcterms:modified>
</cp:coreProperties>
</file>

<file path=docProps/custom.xml><?xml version="1.0" encoding="utf-8"?>
<Properties xmlns="http://schemas.openxmlformats.org/officeDocument/2006/custom-properties" xmlns:vt="http://schemas.openxmlformats.org/officeDocument/2006/docPropsVTypes"/>
</file>