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spacing w:after="100"/>
              <w:jc w:val="center"/>
            </w:pPr>
            <w:r>
              <w:rPr>
                <w:rFonts w:ascii="Calibri" w:cs="Calibri" w:eastAsia="Calibri" w:hAnsi="Calibri"/>
                <w:b/>
                <w:bCs/>
                <w:color w:val="E8A838"/>
                <w:sz w:val="28"/>
                <w:szCs w:val="28"/>
              </w:rPr>
              <w:t xml:space="preserve">FORBES SAFETY SOLUTIONS</w:t>
            </w:r>
          </w:p>
        </w:tc>
      </w:tr>
    </w:tbl>
    <w:p>
      <w:pPr>
        <w:spacing w:after="0" w:before="600"/>
      </w:pPr>
    </w:p>
    <w:p>
      <w:pPr>
        <w:spacing w:after="200"/>
        <w:jc w:val="center"/>
      </w:pPr>
      <w:r>
        <w:rPr>
          <w:rFonts w:ascii="Calibri" w:cs="Calibri" w:eastAsia="Calibri" w:hAnsi="Calibri"/>
          <w:b/>
          <w:bCs/>
          <w:color w:val="1B2A4A"/>
          <w:sz w:val="48"/>
          <w:szCs w:val="48"/>
        </w:rPr>
        <w:t xml:space="preserve">Welding, Cutting &amp; Brazing Safety Program</w:t>
      </w:r>
    </w:p>
    <w:p>
      <w:pPr>
        <w:spacing w:after="200"/>
        <w:jc w:val="center"/>
      </w:pPr>
      <w:r>
        <w:rPr>
          <w:rFonts w:ascii="Calibri" w:cs="Calibri" w:eastAsia="Calibri" w:hAnsi="Calibri"/>
          <w:color w:val="555555"/>
          <w:sz w:val="28"/>
          <w:szCs w:val="28"/>
        </w:rPr>
        <w:t xml:space="preserve">Enhanced Hot Work Safety</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jc w:val="center"/>
            </w:pPr>
            <w:r>
              <w:rPr>
                <w:sz w:val="4"/>
                <w:szCs w:val="4"/>
              </w:rPr>
              <w:t xml:space="preserve"> </w:t>
            </w:r>
          </w:p>
        </w:tc>
      </w:tr>
    </w:tbl>
    <w:p>
      <w:pPr>
        <w:spacing w:after="200" w:before="600"/>
      </w:pPr>
    </w:p>
    <w:p>
      <w:pPr>
        <w:jc w:val="center"/>
      </w:pPr>
      <w:r>
        <w:rPr>
          <w:color w:val="666666"/>
          <w:sz w:val="24"/>
          <w:szCs w:val="24"/>
        </w:rPr>
        <w:t xml:space="preserve">Prepared for:</w:t>
      </w:r>
    </w:p>
    <w:p>
      <w:pPr>
        <w:spacing w:after="100"/>
        <w:jc w:val="center"/>
      </w:pPr>
      <w:r>
        <w:rPr>
          <w:b/>
          <w:bCs/>
          <w:color w:val="1B2A4A"/>
          <w:sz w:val="32"/>
          <w:szCs w:val="32"/>
        </w:rPr>
        <w:t xml:space="preserve">[COMPANY NAME]</w:t>
      </w:r>
    </w:p>
    <w:p>
      <w:pPr>
        <w:spacing w:after="0" w:before="200"/>
      </w:pPr>
    </w:p>
    <w:p>
      <w:pPr>
        <w:jc w:val="center"/>
      </w:pPr>
      <w:r>
        <w:rPr>
          <w:b/>
          <w:bCs/>
          <w:color w:val="666666"/>
          <w:sz w:val="20"/>
          <w:szCs w:val="20"/>
        </w:rPr>
        <w:t xml:space="preserve">Regulatory References:</w:t>
      </w:r>
    </w:p>
    <w:p>
      <w:pPr>
        <w:spacing w:after="100"/>
        <w:jc w:val="center"/>
      </w:pPr>
      <w:r>
        <w:rPr>
          <w:color w:val="666666"/>
          <w:sz w:val="20"/>
          <w:szCs w:val="20"/>
        </w:rPr>
        <w:t xml:space="preserve">29 CFR 1926.350-354 | 29 CFR 1910.251-255 | ANSI Z49.1</w:t>
      </w:r>
    </w:p>
    <w:p>
      <w:pPr>
        <w:spacing w:after="0" w:before="400"/>
      </w:pPr>
    </w:p>
    <w:p>
      <w:pPr>
        <w:jc w:val="center"/>
      </w:pPr>
      <w:r>
        <w:rPr>
          <w:color w:val="666666"/>
          <w:sz w:val="22"/>
          <w:szCs w:val="22"/>
        </w:rPr>
        <w:t xml:space="preserve">Effective Date: [DATE]</w:t>
      </w:r>
    </w:p>
    <w:p>
      <w:pPr>
        <w:jc w:val="center"/>
      </w:pPr>
      <w:r>
        <w:rPr>
          <w:color w:val="666666"/>
          <w:sz w:val="22"/>
          <w:szCs w:val="22"/>
        </w:rPr>
        <w:t xml:space="preserve">Review Date: [ANNUAL REVIEW DATE]</w:t>
      </w:r>
    </w:p>
    <w:p>
      <w:r>
        <w:br w:type="page"/>
      </w:r>
    </w:p>
    <w:p>
      <w:pPr>
        <w:pStyle w:val="Heading1"/>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and Scope</w:t>
      </w:r>
    </w:p>
    <w:p>
      <w:pPr>
        <w:spacing w:after="120"/>
      </w:pPr>
      <w:r>
        <w:t xml:space="preserve">This Welding, Cutting &amp; Brazing Safety Program establishes the requirements for safe performance of hot work operations at [COMPANY NAME] worksites. This program applies to all employees, contractors, and subcontractors who perform or supervise welding, cutting, brazing, soldering, or other hot work operations.</w:t>
      </w:r>
    </w:p>
    <w:p>
      <w:pPr>
        <w:spacing w:after="120"/>
      </w:pPr>
      <w:r>
        <w:t xml:space="preserve">This program covers gas welding and cutting (oxy-fuel), shielded metal arc welding (SMAW), gas metal arc welding (GMAW/MIG), gas tungsten arc welding (GTAW/TIG), flux-cored arc welding (FCAW), plasma arc cutting, and brazing/soldering operations.</w:t>
      </w:r>
    </w:p>
    <w:p>
      <w:pPr>
        <w:pStyle w:val="Heading1"/>
      </w:pPr>
      <w:r>
        <w:t xml:space="preserve">2. Regulatory References</w:t>
      </w:r>
    </w:p>
    <w:p>
      <w:pPr>
        <w:pStyle w:val="ListParagraph"/>
        <w:numPr>
          <w:ilvl w:val="0"/>
          <w:numId w:val="2"/>
        </w:numPr>
        <w:spacing w:after="60"/>
      </w:pPr>
      <w:r>
        <w:t xml:space="preserve">29 CFR 1926.350 — Gas Welding and Cutting</w:t>
      </w:r>
    </w:p>
    <w:p>
      <w:pPr>
        <w:pStyle w:val="ListParagraph"/>
        <w:numPr>
          <w:ilvl w:val="0"/>
          <w:numId w:val="2"/>
        </w:numPr>
        <w:spacing w:after="60"/>
      </w:pPr>
      <w:r>
        <w:t xml:space="preserve">29 CFR 1926.351 — Arc Welding and Cutting</w:t>
      </w:r>
    </w:p>
    <w:p>
      <w:pPr>
        <w:pStyle w:val="ListParagraph"/>
        <w:numPr>
          <w:ilvl w:val="0"/>
          <w:numId w:val="2"/>
        </w:numPr>
        <w:spacing w:after="60"/>
      </w:pPr>
      <w:r>
        <w:t xml:space="preserve">29 CFR 1926.352 — Fire Prevention</w:t>
      </w:r>
    </w:p>
    <w:p>
      <w:pPr>
        <w:pStyle w:val="ListParagraph"/>
        <w:numPr>
          <w:ilvl w:val="0"/>
          <w:numId w:val="2"/>
        </w:numPr>
        <w:spacing w:after="60"/>
      </w:pPr>
      <w:r>
        <w:t xml:space="preserve">29 CFR 1926.353 — Ventilation and Protection in Welding, Cutting, and Heating</w:t>
      </w:r>
    </w:p>
    <w:p>
      <w:pPr>
        <w:pStyle w:val="ListParagraph"/>
        <w:numPr>
          <w:ilvl w:val="0"/>
          <w:numId w:val="2"/>
        </w:numPr>
        <w:spacing w:after="60"/>
      </w:pPr>
      <w:r>
        <w:t xml:space="preserve">29 CFR 1926.354 — Welding, Cutting, and Heating in Way of Preservative Coatings</w:t>
      </w:r>
    </w:p>
    <w:p>
      <w:pPr>
        <w:pStyle w:val="ListParagraph"/>
        <w:numPr>
          <w:ilvl w:val="0"/>
          <w:numId w:val="2"/>
        </w:numPr>
        <w:spacing w:after="60"/>
      </w:pPr>
      <w:r>
        <w:t xml:space="preserve">29 CFR 1910.251-255 — Welding, Cutting, and Brazing (General Industry)</w:t>
      </w:r>
    </w:p>
    <w:p>
      <w:pPr>
        <w:pStyle w:val="ListParagraph"/>
        <w:numPr>
          <w:ilvl w:val="0"/>
          <w:numId w:val="2"/>
        </w:numPr>
        <w:spacing w:after="60"/>
      </w:pPr>
      <w:r>
        <w:t xml:space="preserve">ANSI Z49.1 — Safety in Welding, Cutting, and Allied Processes</w:t>
      </w:r>
    </w:p>
    <w:p>
      <w:pPr>
        <w:pStyle w:val="ListParagraph"/>
        <w:numPr>
          <w:ilvl w:val="0"/>
          <w:numId w:val="2"/>
        </w:numPr>
        <w:spacing w:after="60"/>
      </w:pPr>
      <w:r>
        <w:t xml:space="preserve">NFPA 51B — Standard for Fire Prevention During Welding, Cutting, and Other Hot Work</w:t>
      </w:r>
    </w:p>
    <w:p>
      <w:pPr>
        <w:pStyle w:val="ListParagraph"/>
        <w:numPr>
          <w:ilvl w:val="0"/>
          <w:numId w:val="2"/>
        </w:numPr>
        <w:spacing w:after="60"/>
      </w:pPr>
      <w:r>
        <w:t xml:space="preserve">AWS D1.1 — Structural Welding Code</w:t>
      </w:r>
    </w:p>
    <w:p>
      <w:pPr>
        <w:pStyle w:val="Heading1"/>
      </w:pPr>
      <w:r>
        <w:t xml:space="preserve">3. Roles and Responsibilities</w:t>
      </w:r>
    </w:p>
    <w:p>
      <w:pPr>
        <w:pStyle w:val="Heading2"/>
      </w:pPr>
      <w:r>
        <w:t xml:space="preserve">3.1 Management / Program Administrator</w:t>
      </w:r>
    </w:p>
    <w:p>
      <w:pPr>
        <w:pStyle w:val="ListParagraph"/>
        <w:numPr>
          <w:ilvl w:val="0"/>
          <w:numId w:val="2"/>
        </w:numPr>
        <w:spacing w:after="60"/>
      </w:pPr>
      <w:r>
        <w:t xml:space="preserve">Establish and maintain this written hot work/welding safety program</w:t>
      </w:r>
    </w:p>
    <w:p>
      <w:pPr>
        <w:pStyle w:val="ListParagraph"/>
        <w:numPr>
          <w:ilvl w:val="0"/>
          <w:numId w:val="2"/>
        </w:numPr>
        <w:spacing w:after="60"/>
      </w:pPr>
      <w:r>
        <w:t xml:space="preserve">Ensure adequate training and resources</w:t>
      </w:r>
    </w:p>
    <w:p>
      <w:pPr>
        <w:pStyle w:val="ListParagraph"/>
        <w:numPr>
          <w:ilvl w:val="0"/>
          <w:numId w:val="2"/>
        </w:numPr>
        <w:spacing w:after="60"/>
      </w:pPr>
      <w:r>
        <w:t xml:space="preserve">Designate authorized hot work permit issuers</w:t>
      </w:r>
    </w:p>
    <w:p>
      <w:pPr>
        <w:pStyle w:val="ListParagraph"/>
        <w:numPr>
          <w:ilvl w:val="0"/>
          <w:numId w:val="2"/>
        </w:numPr>
        <w:spacing w:after="60"/>
      </w:pPr>
      <w:r>
        <w:t xml:space="preserve">Ensure fire protection equipment is available and maintained</w:t>
      </w:r>
    </w:p>
    <w:p>
      <w:pPr>
        <w:pStyle w:val="Heading2"/>
      </w:pPr>
      <w:r>
        <w:t xml:space="preserve">3.2 Hot Work Permit Issuer / Supervisor</w:t>
      </w:r>
    </w:p>
    <w:p>
      <w:pPr>
        <w:pStyle w:val="ListParagraph"/>
        <w:numPr>
          <w:ilvl w:val="0"/>
          <w:numId w:val="2"/>
        </w:numPr>
        <w:spacing w:after="60"/>
      </w:pPr>
      <w:r>
        <w:t xml:space="preserve">Inspect and authorize hot work areas before issuing permits</w:t>
      </w:r>
    </w:p>
    <w:p>
      <w:pPr>
        <w:pStyle w:val="ListParagraph"/>
        <w:numPr>
          <w:ilvl w:val="0"/>
          <w:numId w:val="2"/>
        </w:numPr>
        <w:spacing w:after="60"/>
      </w:pPr>
      <w:r>
        <w:t xml:space="preserve">Ensure fire prevention measures are implemented</w:t>
      </w:r>
    </w:p>
    <w:p>
      <w:pPr>
        <w:pStyle w:val="ListParagraph"/>
        <w:numPr>
          <w:ilvl w:val="0"/>
          <w:numId w:val="2"/>
        </w:numPr>
        <w:spacing w:after="60"/>
      </w:pPr>
      <w:r>
        <w:t xml:space="preserve">Assign fire watch personnel when required</w:t>
      </w:r>
    </w:p>
    <w:p>
      <w:pPr>
        <w:pStyle w:val="ListParagraph"/>
        <w:numPr>
          <w:ilvl w:val="0"/>
          <w:numId w:val="2"/>
        </w:numPr>
        <w:spacing w:after="60"/>
      </w:pPr>
      <w:r>
        <w:t xml:space="preserve">Cancel permits when conditions become unsafe</w:t>
      </w:r>
    </w:p>
    <w:p>
      <w:pPr>
        <w:pStyle w:val="Heading2"/>
      </w:pPr>
      <w:r>
        <w:t xml:space="preserve">3.3 Welders / Hot Work Operators</w:t>
      </w:r>
    </w:p>
    <w:p>
      <w:pPr>
        <w:pStyle w:val="ListParagraph"/>
        <w:numPr>
          <w:ilvl w:val="0"/>
          <w:numId w:val="2"/>
        </w:numPr>
        <w:spacing w:after="60"/>
      </w:pPr>
      <w:r>
        <w:t xml:space="preserve">Obtain a hot work permit before beginning any hot work outside designated welding areas</w:t>
      </w:r>
    </w:p>
    <w:p>
      <w:pPr>
        <w:pStyle w:val="ListParagraph"/>
        <w:numPr>
          <w:ilvl w:val="0"/>
          <w:numId w:val="2"/>
        </w:numPr>
        <w:spacing w:after="60"/>
      </w:pPr>
      <w:r>
        <w:t xml:space="preserve">Inspect equipment before each use</w:t>
      </w:r>
    </w:p>
    <w:p>
      <w:pPr>
        <w:pStyle w:val="ListParagraph"/>
        <w:numPr>
          <w:ilvl w:val="0"/>
          <w:numId w:val="2"/>
        </w:numPr>
        <w:spacing w:after="60"/>
      </w:pPr>
      <w:r>
        <w:t xml:space="preserve">Maintain safe work practices and use required PPE</w:t>
      </w:r>
    </w:p>
    <w:p>
      <w:pPr>
        <w:pStyle w:val="ListParagraph"/>
        <w:numPr>
          <w:ilvl w:val="0"/>
          <w:numId w:val="2"/>
        </w:numPr>
        <w:spacing w:after="60"/>
      </w:pPr>
      <w:r>
        <w:t xml:space="preserve">Stop work when unsafe conditions are observed</w:t>
      </w:r>
    </w:p>
    <w:p>
      <w:pPr>
        <w:pStyle w:val="ListParagraph"/>
        <w:numPr>
          <w:ilvl w:val="0"/>
          <w:numId w:val="2"/>
        </w:numPr>
        <w:spacing w:after="60"/>
      </w:pPr>
      <w:r>
        <w:t xml:space="preserve">Maintain qualification/certification as required</w:t>
      </w:r>
    </w:p>
    <w:p>
      <w:pPr>
        <w:pStyle w:val="Heading2"/>
      </w:pPr>
      <w:r>
        <w:t xml:space="preserve">3.4 Fire Watch</w:t>
      </w:r>
    </w:p>
    <w:p>
      <w:pPr>
        <w:pStyle w:val="ListParagraph"/>
        <w:numPr>
          <w:ilvl w:val="0"/>
          <w:numId w:val="2"/>
        </w:numPr>
        <w:spacing w:after="60"/>
      </w:pPr>
      <w:r>
        <w:t xml:space="preserve">Maintain fire watch during and for at least 30 minutes after hot work completion</w:t>
      </w:r>
    </w:p>
    <w:p>
      <w:pPr>
        <w:pStyle w:val="ListParagraph"/>
        <w:numPr>
          <w:ilvl w:val="0"/>
          <w:numId w:val="2"/>
        </w:numPr>
        <w:spacing w:after="60"/>
      </w:pPr>
      <w:r>
        <w:t xml:space="preserve">Have firefighting equipment readily available and know how to use it</w:t>
      </w:r>
    </w:p>
    <w:p>
      <w:pPr>
        <w:pStyle w:val="ListParagraph"/>
        <w:numPr>
          <w:ilvl w:val="0"/>
          <w:numId w:val="2"/>
        </w:numPr>
        <w:spacing w:after="60"/>
      </w:pPr>
      <w:r>
        <w:t xml:space="preserve">Watch for fires in all exposed areas and attempt to extinguish only within capability</w:t>
      </w:r>
    </w:p>
    <w:p>
      <w:pPr>
        <w:pStyle w:val="ListParagraph"/>
        <w:numPr>
          <w:ilvl w:val="0"/>
          <w:numId w:val="2"/>
        </w:numPr>
        <w:spacing w:after="60"/>
      </w:pPr>
      <w:r>
        <w:t xml:space="preserve">Activate the fire alarm and notify the fire department if unable to extinguish</w:t>
      </w:r>
    </w:p>
    <w:p>
      <w:pPr>
        <w:pStyle w:val="ListParagraph"/>
        <w:numPr>
          <w:ilvl w:val="0"/>
          <w:numId w:val="2"/>
        </w:numPr>
        <w:spacing w:after="60"/>
      </w:pPr>
      <w:r>
        <w:t xml:space="preserve">Maintain a clear view of the hot work area at all times</w:t>
      </w:r>
    </w:p>
    <w:p>
      <w:pPr>
        <w:pStyle w:val="Heading1"/>
      </w:pPr>
      <w:r>
        <w:t xml:space="preserve">4. Hot Work Permit Requirements</w:t>
      </w:r>
    </w:p>
    <w:p>
      <w:pPr>
        <w:spacing w:after="120"/>
      </w:pPr>
      <w:r>
        <w:t xml:space="preserve">A written hot work permit is required for all welding, cutting, brazing, and related operations performed outside of designated welding areas. The permit shall be issued by an authorized person and shall verify:</w:t>
      </w:r>
    </w:p>
    <w:p>
      <w:pPr>
        <w:pStyle w:val="ListParagraph"/>
        <w:numPr>
          <w:ilvl w:val="0"/>
          <w:numId w:val="3"/>
        </w:numPr>
        <w:spacing w:after="60"/>
      </w:pPr>
      <w:r>
        <w:t xml:space="preserve">The work area has been inspected for fire hazards</w:t>
      </w:r>
    </w:p>
    <w:p>
      <w:pPr>
        <w:pStyle w:val="ListParagraph"/>
        <w:numPr>
          <w:ilvl w:val="0"/>
          <w:numId w:val="3"/>
        </w:numPr>
        <w:spacing w:after="60"/>
      </w:pPr>
      <w:r>
        <w:t xml:space="preserve">Combustible materials within 35 feet have been removed or protected</w:t>
      </w:r>
    </w:p>
    <w:p>
      <w:pPr>
        <w:pStyle w:val="ListParagraph"/>
        <w:numPr>
          <w:ilvl w:val="0"/>
          <w:numId w:val="3"/>
        </w:numPr>
        <w:spacing w:after="60"/>
      </w:pPr>
      <w:r>
        <w:t xml:space="preserve">Openings in floors, walls, and ceilings within 35 feet are covered or protected</w:t>
      </w:r>
    </w:p>
    <w:p>
      <w:pPr>
        <w:pStyle w:val="ListParagraph"/>
        <w:numPr>
          <w:ilvl w:val="0"/>
          <w:numId w:val="3"/>
        </w:numPr>
        <w:spacing w:after="60"/>
      </w:pPr>
      <w:r>
        <w:t xml:space="preserve">Fire extinguishing equipment is immediately available</w:t>
      </w:r>
    </w:p>
    <w:p>
      <w:pPr>
        <w:pStyle w:val="ListParagraph"/>
        <w:numPr>
          <w:ilvl w:val="0"/>
          <w:numId w:val="3"/>
        </w:numPr>
        <w:spacing w:after="60"/>
      </w:pPr>
      <w:r>
        <w:t xml:space="preserve">A fire watch has been assigned (when required)</w:t>
      </w:r>
    </w:p>
    <w:p>
      <w:pPr>
        <w:pStyle w:val="ListParagraph"/>
        <w:numPr>
          <w:ilvl w:val="0"/>
          <w:numId w:val="3"/>
        </w:numPr>
        <w:spacing w:after="60"/>
      </w:pPr>
      <w:r>
        <w:t xml:space="preserve">Confined space entry procedures are followed (if applicable)</w:t>
      </w:r>
    </w:p>
    <w:p>
      <w:pPr>
        <w:pStyle w:val="ListParagraph"/>
        <w:numPr>
          <w:ilvl w:val="0"/>
          <w:numId w:val="3"/>
        </w:numPr>
        <w:spacing w:after="60"/>
      </w:pPr>
      <w:r>
        <w:t xml:space="preserve">Affected personnel have been notified</w:t>
      </w:r>
    </w:p>
    <w:p>
      <w:pPr>
        <w:spacing w:after="0"/>
      </w:pPr>
    </w:p>
    <w:p>
      <w:pPr>
        <w:spacing w:after="120"/>
      </w:pPr>
      <w:r>
        <w:t xml:space="preserve">The permit shall be posted at the hot work location and retained for at least one year after completion. See Appendix A for the Hot Work Permit Form.</w:t>
      </w:r>
    </w:p>
    <w:p>
      <w:r>
        <w:br w:type="page"/>
      </w:r>
    </w:p>
    <w:p>
      <w:pPr>
        <w:pStyle w:val="Heading1"/>
      </w:pPr>
      <w:r>
        <w:t xml:space="preserve">5. Fire Prevention and Fire Watch</w:t>
      </w:r>
    </w:p>
    <w:p>
      <w:pPr>
        <w:pStyle w:val="Heading2"/>
      </w:pPr>
      <w:r>
        <w:t xml:space="preserve">5.1 Fire Prevention Requirements</w:t>
      </w:r>
    </w:p>
    <w:p>
      <w:pPr>
        <w:pStyle w:val="ListParagraph"/>
        <w:numPr>
          <w:ilvl w:val="0"/>
          <w:numId w:val="2"/>
        </w:numPr>
        <w:spacing w:after="60"/>
      </w:pPr>
      <w:r>
        <w:t xml:space="preserve">Remove all combustible materials within 35 feet of hot work, or protect with fire-resistant covers/shields</w:t>
      </w:r>
    </w:p>
    <w:p>
      <w:pPr>
        <w:pStyle w:val="ListParagraph"/>
        <w:numPr>
          <w:ilvl w:val="0"/>
          <w:numId w:val="2"/>
        </w:numPr>
        <w:spacing w:after="60"/>
      </w:pPr>
      <w:r>
        <w:t xml:space="preserve">Protect combustible floors with fire-resistant material or wet them down</w:t>
      </w:r>
    </w:p>
    <w:p>
      <w:pPr>
        <w:pStyle w:val="ListParagraph"/>
        <w:numPr>
          <w:ilvl w:val="0"/>
          <w:numId w:val="2"/>
        </w:numPr>
        <w:spacing w:after="60"/>
      </w:pPr>
      <w:r>
        <w:t xml:space="preserve">Seal wall/floor/ceiling openings within 35 feet to prevent spark travel</w:t>
      </w:r>
    </w:p>
    <w:p>
      <w:pPr>
        <w:pStyle w:val="ListParagraph"/>
        <w:numPr>
          <w:ilvl w:val="0"/>
          <w:numId w:val="2"/>
        </w:numPr>
        <w:spacing w:after="60"/>
      </w:pPr>
      <w:r>
        <w:t xml:space="preserve">Move combustible materials on the other side of walls/partitions if possible</w:t>
      </w:r>
    </w:p>
    <w:p>
      <w:pPr>
        <w:pStyle w:val="ListParagraph"/>
        <w:numPr>
          <w:ilvl w:val="0"/>
          <w:numId w:val="2"/>
        </w:numPr>
        <w:spacing w:after="60"/>
      </w:pPr>
      <w:r>
        <w:t xml:space="preserve">A fire extinguisher (minimum 20-lb ABC) shall be within immediate reach</w:t>
      </w:r>
    </w:p>
    <w:p>
      <w:pPr>
        <w:pStyle w:val="ListParagraph"/>
        <w:numPr>
          <w:ilvl w:val="0"/>
          <w:numId w:val="2"/>
        </w:numPr>
        <w:spacing w:after="60"/>
      </w:pPr>
      <w:r>
        <w:t xml:space="preserve">Ensure sprinkler systems are operable; notify fire department if impaired</w:t>
      </w:r>
    </w:p>
    <w:p>
      <w:pPr>
        <w:pStyle w:val="Heading2"/>
      </w:pPr>
      <w:r>
        <w:t xml:space="preserve">5.2 Fire Watch Requirements</w:t>
      </w:r>
    </w:p>
    <w:p>
      <w:pPr>
        <w:spacing w:after="120"/>
      </w:pPr>
      <w:r>
        <w:t xml:space="preserve">A fire watch is required when:</w:t>
      </w:r>
    </w:p>
    <w:p>
      <w:pPr>
        <w:pStyle w:val="ListParagraph"/>
        <w:numPr>
          <w:ilvl w:val="0"/>
          <w:numId w:val="2"/>
        </w:numPr>
        <w:spacing w:after="60"/>
      </w:pPr>
      <w:r>
        <w:t xml:space="preserve">Combustible materials cannot be moved at least 35 feet from the hot work</w:t>
      </w:r>
    </w:p>
    <w:p>
      <w:pPr>
        <w:pStyle w:val="ListParagraph"/>
        <w:numPr>
          <w:ilvl w:val="0"/>
          <w:numId w:val="2"/>
        </w:numPr>
        <w:spacing w:after="60"/>
      </w:pPr>
      <w:r>
        <w:t xml:space="preserve">Combustible materials are closer than 35 feet and are only protected by covers/guards</w:t>
      </w:r>
    </w:p>
    <w:p>
      <w:pPr>
        <w:pStyle w:val="ListParagraph"/>
        <w:numPr>
          <w:ilvl w:val="0"/>
          <w:numId w:val="2"/>
        </w:numPr>
        <w:spacing w:after="60"/>
      </w:pPr>
      <w:r>
        <w:t xml:space="preserve">Wall or floor openings within 35 feet expose combustible materials</w:t>
      </w:r>
    </w:p>
    <w:p>
      <w:pPr>
        <w:pStyle w:val="ListParagraph"/>
        <w:numPr>
          <w:ilvl w:val="0"/>
          <w:numId w:val="2"/>
        </w:numPr>
        <w:spacing w:after="60"/>
      </w:pPr>
      <w:r>
        <w:t xml:space="preserve">Combustible materials adjacent to the opposite side of partitions, walls, ceilings, or roofs</w:t>
      </w:r>
    </w:p>
    <w:p>
      <w:pPr>
        <w:spacing w:after="0"/>
      </w:pPr>
    </w:p>
    <w:p>
      <w:pPr>
        <w:spacing w:after="120"/>
      </w:pPr>
      <w:r>
        <w:t xml:space="preserve">The fire watch shall continue for a minimum of 30 minutes after hot work is completed. Additional monitoring may be required — up to 4 hours for certain conditions per facility policy.</w:t>
      </w:r>
    </w:p>
    <w:p>
      <w:pPr>
        <w:pStyle w:val="Heading1"/>
      </w:pPr>
      <w:r>
        <w:t xml:space="preserve">6. Gas Welding and Cutting (Oxy-Fuel)</w:t>
      </w:r>
    </w:p>
    <w:p>
      <w:pPr>
        <w:pStyle w:val="Heading2"/>
      </w:pPr>
      <w:r>
        <w:t xml:space="preserve">6.1 Cylinder Storage and Handling</w:t>
      </w:r>
    </w:p>
    <w:p>
      <w:pPr>
        <w:pStyle w:val="ListParagraph"/>
        <w:numPr>
          <w:ilvl w:val="0"/>
          <w:numId w:val="2"/>
        </w:numPr>
        <w:spacing w:after="60"/>
      </w:pPr>
      <w:r>
        <w:t xml:space="preserve">Store oxygen cylinders at least 20 feet from fuel gas cylinders or separated by a 5-foot high, ½-hour fire-rated barrier</w:t>
      </w:r>
    </w:p>
    <w:p>
      <w:pPr>
        <w:pStyle w:val="ListParagraph"/>
        <w:numPr>
          <w:ilvl w:val="0"/>
          <w:numId w:val="2"/>
        </w:numPr>
        <w:spacing w:after="60"/>
      </w:pPr>
      <w:r>
        <w:t xml:space="preserve">Secure all cylinders in upright position with chains, straps, or in approved racks</w:t>
      </w:r>
    </w:p>
    <w:p>
      <w:pPr>
        <w:pStyle w:val="ListParagraph"/>
        <w:numPr>
          <w:ilvl w:val="0"/>
          <w:numId w:val="2"/>
        </w:numPr>
        <w:spacing w:after="60"/>
      </w:pPr>
      <w:r>
        <w:t xml:space="preserve">Keep valve protection caps in place when cylinders are not in use or being moved</w:t>
      </w:r>
    </w:p>
    <w:p>
      <w:pPr>
        <w:pStyle w:val="ListParagraph"/>
        <w:numPr>
          <w:ilvl w:val="0"/>
          <w:numId w:val="2"/>
        </w:numPr>
        <w:spacing w:after="60"/>
      </w:pPr>
      <w:r>
        <w:t xml:space="preserve">Never lift cylinders by the valve cap or use slings/magnets</w:t>
      </w:r>
    </w:p>
    <w:p>
      <w:pPr>
        <w:pStyle w:val="ListParagraph"/>
        <w:numPr>
          <w:ilvl w:val="0"/>
          <w:numId w:val="2"/>
        </w:numPr>
        <w:spacing w:after="60"/>
      </w:pPr>
      <w:r>
        <w:t xml:space="preserve">Never use oil, grease, or other lubricants on oxygen fittings or regulators</w:t>
      </w:r>
    </w:p>
    <w:p>
      <w:pPr>
        <w:pStyle w:val="ListParagraph"/>
        <w:numPr>
          <w:ilvl w:val="0"/>
          <w:numId w:val="2"/>
        </w:numPr>
        <w:spacing w:after="60"/>
      </w:pPr>
      <w:r>
        <w:t xml:space="preserve">Mark empty cylinders "MT" or "EMPTY" and store separately from full cylinders</w:t>
      </w:r>
    </w:p>
    <w:p>
      <w:pPr>
        <w:pStyle w:val="Heading2"/>
      </w:pPr>
      <w:r>
        <w:t xml:space="preserve">6.2 Acetylene Safety</w:t>
      </w:r>
    </w:p>
    <w:p>
      <w:pPr>
        <w:pStyle w:val="ListParagraph"/>
        <w:numPr>
          <w:ilvl w:val="0"/>
          <w:numId w:val="2"/>
        </w:numPr>
        <w:spacing w:after="60"/>
      </w:pPr>
      <w:r>
        <w:t xml:space="preserve">Never exceed 15 psig working pressure for acetylene</w:t>
      </w:r>
    </w:p>
    <w:p>
      <w:pPr>
        <w:pStyle w:val="ListParagraph"/>
        <w:numPr>
          <w:ilvl w:val="0"/>
          <w:numId w:val="2"/>
        </w:numPr>
        <w:spacing w:after="60"/>
      </w:pPr>
      <w:r>
        <w:t xml:space="preserve">Never use acetylene in a free state at pressures above 15 psig</w:t>
      </w:r>
    </w:p>
    <w:p>
      <w:pPr>
        <w:pStyle w:val="ListParagraph"/>
        <w:numPr>
          <w:ilvl w:val="0"/>
          <w:numId w:val="2"/>
        </w:numPr>
        <w:spacing w:after="60"/>
      </w:pPr>
      <w:r>
        <w:t xml:space="preserve">Open acetylene cylinder valve no more than 1½ turns; leave wrench in place</w:t>
      </w:r>
    </w:p>
    <w:p>
      <w:pPr>
        <w:pStyle w:val="ListParagraph"/>
        <w:numPr>
          <w:ilvl w:val="0"/>
          <w:numId w:val="2"/>
        </w:numPr>
        <w:spacing w:after="60"/>
      </w:pPr>
      <w:r>
        <w:t xml:space="preserve">If an acetylene cylinder has been stored on its side, stand upright for at least 2 hours before use</w:t>
      </w:r>
    </w:p>
    <w:p>
      <w:pPr>
        <w:pStyle w:val="ListParagraph"/>
        <w:numPr>
          <w:ilvl w:val="0"/>
          <w:numId w:val="2"/>
        </w:numPr>
        <w:spacing w:after="60"/>
      </w:pPr>
      <w:r>
        <w:t xml:space="preserve">Never use copper fittings or tubing with acetylene (explosion hazard)</w:t>
      </w:r>
    </w:p>
    <w:p>
      <w:pPr>
        <w:pStyle w:val="Heading2"/>
      </w:pPr>
      <w:r>
        <w:t xml:space="preserve">6.3 Flashback Arrestors</w:t>
      </w:r>
    </w:p>
    <w:p>
      <w:pPr>
        <w:spacing w:after="120"/>
      </w:pPr>
      <w:r>
        <w:t xml:space="preserve">Flashback arrestors shall be installed on both the oxygen and fuel gas lines at the regulator connection points. Check valves alone are not sufficient. Flashback arrestors shall be inspected regularly and replaced per manufacturer recommendations.</w:t>
      </w:r>
    </w:p>
    <w:p>
      <w:pPr>
        <w:pStyle w:val="Heading2"/>
      </w:pPr>
      <w:r>
        <w:t xml:space="preserve">6.4 Hose and Equipment Inspection</w:t>
      </w:r>
    </w:p>
    <w:p>
      <w:pPr>
        <w:pStyle w:val="ListParagraph"/>
        <w:numPr>
          <w:ilvl w:val="0"/>
          <w:numId w:val="2"/>
        </w:numPr>
        <w:spacing w:after="60"/>
      </w:pPr>
      <w:r>
        <w:t xml:space="preserve">Inspect hoses before each use for cracks, burns, leaks, or worn fittings</w:t>
      </w:r>
    </w:p>
    <w:p>
      <w:pPr>
        <w:pStyle w:val="ListParagraph"/>
        <w:numPr>
          <w:ilvl w:val="0"/>
          <w:numId w:val="2"/>
        </w:numPr>
        <w:spacing w:after="60"/>
      </w:pPr>
      <w:r>
        <w:t xml:space="preserve">Replace damaged hoses immediately — do not repair with tape</w:t>
      </w:r>
    </w:p>
    <w:p>
      <w:pPr>
        <w:pStyle w:val="ListParagraph"/>
        <w:numPr>
          <w:ilvl w:val="0"/>
          <w:numId w:val="2"/>
        </w:numPr>
        <w:spacing w:after="60"/>
      </w:pPr>
      <w:r>
        <w:t xml:space="preserve">Use only approved connectors; never use wire for hose connections</w:t>
      </w:r>
    </w:p>
    <w:p>
      <w:pPr>
        <w:pStyle w:val="ListParagraph"/>
        <w:numPr>
          <w:ilvl w:val="0"/>
          <w:numId w:val="2"/>
        </w:numPr>
        <w:spacing w:after="60"/>
      </w:pPr>
      <w:r>
        <w:t xml:space="preserve">Purge each hose individually before lighting the torch</w:t>
      </w:r>
    </w:p>
    <w:p>
      <w:pPr>
        <w:pStyle w:val="ListParagraph"/>
        <w:numPr>
          <w:ilvl w:val="0"/>
          <w:numId w:val="2"/>
        </w:numPr>
        <w:spacing w:after="60"/>
      </w:pPr>
      <w:r>
        <w:t xml:space="preserve">When work is complete, close cylinder valves, bleed lines, and release regulators</w:t>
      </w:r>
    </w:p>
    <w:p>
      <w:r>
        <w:br w:type="page"/>
      </w:r>
    </w:p>
    <w:p>
      <w:pPr>
        <w:pStyle w:val="Heading1"/>
      </w:pPr>
      <w:r>
        <w:t xml:space="preserve">7. Arc Welding Safety</w:t>
      </w:r>
    </w:p>
    <w:p>
      <w:pPr>
        <w:pStyle w:val="Heading2"/>
      </w:pPr>
      <w:r>
        <w:t xml:space="preserve">7.1 Electrical Hazards</w:t>
      </w:r>
    </w:p>
    <w:p>
      <w:pPr>
        <w:pStyle w:val="ListParagraph"/>
        <w:numPr>
          <w:ilvl w:val="0"/>
          <w:numId w:val="2"/>
        </w:numPr>
        <w:spacing w:after="60"/>
      </w:pPr>
      <w:r>
        <w:t xml:space="preserve">Only qualified persons shall install, operate, or maintain arc welding equipment</w:t>
      </w:r>
    </w:p>
    <w:p>
      <w:pPr>
        <w:pStyle w:val="ListParagraph"/>
        <w:numPr>
          <w:ilvl w:val="0"/>
          <w:numId w:val="2"/>
        </w:numPr>
        <w:spacing w:after="60"/>
      </w:pPr>
      <w:r>
        <w:t xml:space="preserve">All arc welding equipment shall be properly grounded</w:t>
      </w:r>
    </w:p>
    <w:p>
      <w:pPr>
        <w:pStyle w:val="ListParagraph"/>
        <w:numPr>
          <w:ilvl w:val="0"/>
          <w:numId w:val="2"/>
        </w:numPr>
        <w:spacing w:after="60"/>
      </w:pPr>
      <w:r>
        <w:t xml:space="preserve">Inspect cables, connectors, electrode holders, and ground clamps before each use</w:t>
      </w:r>
    </w:p>
    <w:p>
      <w:pPr>
        <w:pStyle w:val="ListParagraph"/>
        <w:numPr>
          <w:ilvl w:val="0"/>
          <w:numId w:val="2"/>
        </w:numPr>
        <w:spacing w:after="60"/>
      </w:pPr>
      <w:r>
        <w:t xml:space="preserve">Replace damaged insulation and cables immediately</w:t>
      </w:r>
    </w:p>
    <w:p>
      <w:pPr>
        <w:pStyle w:val="ListParagraph"/>
        <w:numPr>
          <w:ilvl w:val="0"/>
          <w:numId w:val="2"/>
        </w:numPr>
        <w:spacing w:after="60"/>
      </w:pPr>
      <w:r>
        <w:t xml:space="preserve">Never coil or wrap welding cable around the body</w:t>
      </w:r>
    </w:p>
    <w:p>
      <w:pPr>
        <w:pStyle w:val="ListParagraph"/>
        <w:numPr>
          <w:ilvl w:val="0"/>
          <w:numId w:val="2"/>
        </w:numPr>
        <w:spacing w:after="60"/>
      </w:pPr>
      <w:r>
        <w:t xml:space="preserve">Keep welding cables dry and away from heat, sharp edges, and moving equipment</w:t>
      </w:r>
    </w:p>
    <w:p>
      <w:pPr>
        <w:pStyle w:val="ListParagraph"/>
        <w:numPr>
          <w:ilvl w:val="0"/>
          <w:numId w:val="2"/>
        </w:numPr>
        <w:spacing w:after="60"/>
      </w:pPr>
      <w:r>
        <w:t xml:space="preserve">Use GFCI protection when welding in damp or wet conditions</w:t>
      </w:r>
    </w:p>
    <w:p>
      <w:pPr>
        <w:pStyle w:val="Heading2"/>
      </w:pPr>
      <w:r>
        <w:t xml:space="preserve">7.2 Cable and Connection Requirements</w:t>
      </w:r>
    </w:p>
    <w:p>
      <w:pPr>
        <w:pStyle w:val="ListParagraph"/>
        <w:numPr>
          <w:ilvl w:val="0"/>
          <w:numId w:val="2"/>
        </w:numPr>
        <w:spacing w:after="60"/>
      </w:pPr>
      <w:r>
        <w:t xml:space="preserve">Use only cables of adequate capacity for the welding current</w:t>
      </w:r>
    </w:p>
    <w:p>
      <w:pPr>
        <w:pStyle w:val="ListParagraph"/>
        <w:numPr>
          <w:ilvl w:val="0"/>
          <w:numId w:val="2"/>
        </w:numPr>
        <w:spacing w:after="60"/>
      </w:pPr>
      <w:r>
        <w:t xml:space="preserve">Secure the ground clamp as close to the work as practical</w:t>
      </w:r>
    </w:p>
    <w:p>
      <w:pPr>
        <w:pStyle w:val="ListParagraph"/>
        <w:numPr>
          <w:ilvl w:val="0"/>
          <w:numId w:val="2"/>
        </w:numPr>
        <w:spacing w:after="60"/>
      </w:pPr>
      <w:r>
        <w:t xml:space="preserve">Do not use structural steel, piping, or conduit as a ground return path</w:t>
      </w:r>
    </w:p>
    <w:p>
      <w:pPr>
        <w:pStyle w:val="ListParagraph"/>
        <w:numPr>
          <w:ilvl w:val="0"/>
          <w:numId w:val="2"/>
        </w:numPr>
        <w:spacing w:after="60"/>
      </w:pPr>
      <w:r>
        <w:t xml:space="preserve">Protect cables from traffic; do not run over cables with vehicles or equipment</w:t>
      </w:r>
    </w:p>
    <w:p>
      <w:pPr>
        <w:pStyle w:val="Heading2"/>
      </w:pPr>
      <w:r>
        <w:t xml:space="preserve">7.3 Equipment Shutdown</w:t>
      </w:r>
    </w:p>
    <w:p>
      <w:pPr>
        <w:spacing w:after="120"/>
      </w:pPr>
      <w:r>
        <w:t xml:space="preserve">When arc welding equipment is left unattended, the welder shall disconnect the input power or open the power source disconnect switch. Electrode holders shall be placed to prevent accidental contact.</w:t>
      </w:r>
    </w:p>
    <w:p>
      <w:pPr>
        <w:pStyle w:val="Heading1"/>
      </w:pPr>
      <w:r>
        <w:t xml:space="preserve">8. Ventilation Requirements</w:t>
      </w:r>
    </w:p>
    <w:p>
      <w:pPr>
        <w:pStyle w:val="Heading2"/>
      </w:pPr>
      <w:r>
        <w:t xml:space="preserve">8.1 General Ventilation</w:t>
      </w:r>
    </w:p>
    <w:p>
      <w:pPr>
        <w:spacing w:after="120"/>
      </w:pPr>
      <w:r>
        <w:t xml:space="preserve">Adequate ventilation shall be provided for all welding, cutting, and brazing operations. Natural ventilation is adequate when:</w:t>
      </w:r>
    </w:p>
    <w:p>
      <w:pPr>
        <w:pStyle w:val="ListParagraph"/>
        <w:numPr>
          <w:ilvl w:val="0"/>
          <w:numId w:val="2"/>
        </w:numPr>
        <w:spacing w:after="60"/>
      </w:pPr>
      <w:r>
        <w:t xml:space="preserve">The space has at least 10,000 cubic feet per welder</w:t>
      </w:r>
    </w:p>
    <w:p>
      <w:pPr>
        <w:pStyle w:val="ListParagraph"/>
        <w:numPr>
          <w:ilvl w:val="0"/>
          <w:numId w:val="2"/>
        </w:numPr>
        <w:spacing w:after="60"/>
      </w:pPr>
      <w:r>
        <w:t xml:space="preserve">Ceiling height is at least 16 feet</w:t>
      </w:r>
    </w:p>
    <w:p>
      <w:pPr>
        <w:pStyle w:val="ListParagraph"/>
        <w:numPr>
          <w:ilvl w:val="0"/>
          <w:numId w:val="2"/>
        </w:numPr>
        <w:spacing w:after="60"/>
      </w:pPr>
      <w:r>
        <w:t xml:space="preserve">Welding is not done in a confined area</w:t>
      </w:r>
    </w:p>
    <w:p>
      <w:pPr>
        <w:pStyle w:val="ListParagraph"/>
        <w:numPr>
          <w:ilvl w:val="0"/>
          <w:numId w:val="2"/>
        </w:numPr>
        <w:spacing w:after="60"/>
      </w:pPr>
      <w:r>
        <w:t xml:space="preserve">Space does not contain partitions, balconies, or structural barriers that impede airflow</w:t>
      </w:r>
    </w:p>
    <w:p>
      <w:pPr>
        <w:pStyle w:val="Heading2"/>
      </w:pPr>
      <w:r>
        <w:t xml:space="preserve">8.2 Mechanical Ventilation</w:t>
      </w:r>
    </w:p>
    <w:p>
      <w:pPr>
        <w:spacing w:after="120"/>
      </w:pPr>
      <w:r>
        <w:t xml:space="preserve">Mechanical ventilation shall be provided when natural ventilation is inadequate. Local exhaust ventilation (LEV) shall provide a minimum air velocity of 100 feet per minute at the welding point. General mechanical ventilation shall provide a minimum of 2,000 CFM per welder.</w:t>
      </w:r>
    </w:p>
    <w:p>
      <w:pPr>
        <w:pStyle w:val="Heading2"/>
      </w:pPr>
      <w:r>
        <w:t xml:space="preserve">8.3 Special Ventilation Situations</w:t>
      </w:r>
    </w:p>
    <w:p>
      <w:pPr>
        <w:spacing w:after="120"/>
      </w:pPr>
      <w:r>
        <w:t xml:space="preserve">Additional ventilation or respiratory protection is required when welding:</w:t>
      </w:r>
    </w:p>
    <w:p>
      <w:pPr>
        <w:pStyle w:val="ListParagraph"/>
        <w:numPr>
          <w:ilvl w:val="0"/>
          <w:numId w:val="2"/>
        </w:numPr>
        <w:spacing w:after="60"/>
      </w:pPr>
      <w:r>
        <w:t xml:space="preserve">Galvanized metal (zinc oxide fumes) — may cause metal fume fever</w:t>
      </w:r>
    </w:p>
    <w:p>
      <w:pPr>
        <w:pStyle w:val="ListParagraph"/>
        <w:numPr>
          <w:ilvl w:val="0"/>
          <w:numId w:val="2"/>
        </w:numPr>
        <w:spacing w:after="60"/>
      </w:pPr>
      <w:r>
        <w:t xml:space="preserve">Stainless steel — hexavalent chromium (Cr6+) exposure; PEL 5 µg/m³</w:t>
      </w:r>
    </w:p>
    <w:p>
      <w:pPr>
        <w:pStyle w:val="ListParagraph"/>
        <w:numPr>
          <w:ilvl w:val="0"/>
          <w:numId w:val="2"/>
        </w:numPr>
        <w:spacing w:after="60"/>
      </w:pPr>
      <w:r>
        <w:t xml:space="preserve">Cadmium-plated or coated materials — extremely toxic</w:t>
      </w:r>
    </w:p>
    <w:p>
      <w:pPr>
        <w:pStyle w:val="ListParagraph"/>
        <w:numPr>
          <w:ilvl w:val="0"/>
          <w:numId w:val="2"/>
        </w:numPr>
        <w:spacing w:after="60"/>
      </w:pPr>
      <w:r>
        <w:t xml:space="preserve">Lead-painted surfaces — lead exposure controls required</w:t>
      </w:r>
    </w:p>
    <w:p>
      <w:pPr>
        <w:pStyle w:val="ListParagraph"/>
        <w:numPr>
          <w:ilvl w:val="0"/>
          <w:numId w:val="2"/>
        </w:numPr>
        <w:spacing w:after="60"/>
      </w:pPr>
      <w:r>
        <w:t xml:space="preserve">Beryllium alloys — extremely toxic, carcinogen</w:t>
      </w:r>
    </w:p>
    <w:p>
      <w:pPr>
        <w:pStyle w:val="ListParagraph"/>
        <w:numPr>
          <w:ilvl w:val="0"/>
          <w:numId w:val="2"/>
        </w:numPr>
        <w:spacing w:after="60"/>
      </w:pPr>
      <w:r>
        <w:t xml:space="preserve">In confined spaces — continuous monitoring and ventilation required</w:t>
      </w:r>
    </w:p>
    <w:p>
      <w:r>
        <w:br w:type="page"/>
      </w:r>
    </w:p>
    <w:p>
      <w:pPr>
        <w:pStyle w:val="Heading1"/>
      </w:pPr>
      <w:r>
        <w:t xml:space="preserve">9. Special Precautions</w:t>
      </w:r>
    </w:p>
    <w:p>
      <w:pPr>
        <w:pStyle w:val="Heading2"/>
      </w:pPr>
      <w:r>
        <w:t xml:space="preserve">9.1 Confined Space Welding</w:t>
      </w:r>
    </w:p>
    <w:p>
      <w:pPr>
        <w:spacing w:after="120"/>
      </w:pPr>
      <w:r>
        <w:t xml:space="preserve">Welding in confined spaces requires compliance with both the Confined Space Entry Program and this Welding Safety Program:</w:t>
      </w:r>
    </w:p>
    <w:p>
      <w:pPr>
        <w:pStyle w:val="ListParagraph"/>
        <w:numPr>
          <w:ilvl w:val="0"/>
          <w:numId w:val="2"/>
        </w:numPr>
        <w:spacing w:after="60"/>
      </w:pPr>
      <w:r>
        <w:t xml:space="preserve">A confined space entry permit AND a hot work permit are both required</w:t>
      </w:r>
    </w:p>
    <w:p>
      <w:pPr>
        <w:pStyle w:val="ListParagraph"/>
        <w:numPr>
          <w:ilvl w:val="0"/>
          <w:numId w:val="2"/>
        </w:numPr>
        <w:spacing w:after="60"/>
      </w:pPr>
      <w:r>
        <w:t xml:space="preserve">Continuous atmospheric monitoring for O₂, LEL, and toxic gases</w:t>
      </w:r>
    </w:p>
    <w:p>
      <w:pPr>
        <w:pStyle w:val="ListParagraph"/>
        <w:numPr>
          <w:ilvl w:val="0"/>
          <w:numId w:val="2"/>
        </w:numPr>
        <w:spacing w:after="60"/>
      </w:pPr>
      <w:r>
        <w:t xml:space="preserve">Continuous mechanical ventilation — never use oxygen for ventilation</w:t>
      </w:r>
    </w:p>
    <w:p>
      <w:pPr>
        <w:pStyle w:val="ListParagraph"/>
        <w:numPr>
          <w:ilvl w:val="0"/>
          <w:numId w:val="2"/>
        </w:numPr>
        <w:spacing w:after="60"/>
      </w:pPr>
      <w:r>
        <w:t xml:space="preserve">Remove all cylinders and torches when not in use; close valves when leaving</w:t>
      </w:r>
    </w:p>
    <w:p>
      <w:pPr>
        <w:pStyle w:val="ListParagraph"/>
        <w:numPr>
          <w:ilvl w:val="0"/>
          <w:numId w:val="2"/>
        </w:numPr>
        <w:spacing w:after="60"/>
      </w:pPr>
      <w:r>
        <w:t xml:space="preserve">Gas cylinders and welding machines shall remain outside the confined space</w:t>
      </w:r>
    </w:p>
    <w:p>
      <w:pPr>
        <w:pStyle w:val="ListParagraph"/>
        <w:numPr>
          <w:ilvl w:val="0"/>
          <w:numId w:val="2"/>
        </w:numPr>
        <w:spacing w:after="60"/>
      </w:pPr>
      <w:r>
        <w:t xml:space="preserve">Use only low-voltage (80V or less), low open-circuit voltage welding machines</w:t>
      </w:r>
    </w:p>
    <w:p>
      <w:pPr>
        <w:pStyle w:val="Heading2"/>
      </w:pPr>
      <w:r>
        <w:t xml:space="preserve">9.2 Welding on Galvanized Metal</w:t>
      </w:r>
    </w:p>
    <w:p>
      <w:pPr>
        <w:spacing w:after="120"/>
      </w:pPr>
      <w:r>
        <w:t xml:space="preserve">When cutting or welding galvanized metal, zinc oxide fumes are generated which can cause metal fume fever. Controls include: local exhaust ventilation positioned at the source, respiratory protection (minimum half-face with P100 or OV/P100 combination cartridges), and awareness training on symptoms of zinc oxide exposure.</w:t>
      </w:r>
    </w:p>
    <w:p>
      <w:pPr>
        <w:pStyle w:val="Heading2"/>
      </w:pPr>
      <w:r>
        <w:t xml:space="preserve">9.3 Welding on Stainless Steel (Hexavalent Chromium)</w:t>
      </w:r>
    </w:p>
    <w:p>
      <w:pPr>
        <w:spacing w:after="120"/>
      </w:pPr>
      <w:r>
        <w:t xml:space="preserve">Welding or cutting stainless steel generates hexavalent chromium (Cr6+), a known carcinogen with a PEL of 5 µg/m³ (29 CFR 1926.1126). Required controls include: local exhaust ventilation, respiratory protection (minimum half-face with P100), exposure monitoring, medical surveillance, and hygiene facilities.</w:t>
      </w:r>
    </w:p>
    <w:p>
      <w:pPr>
        <w:pStyle w:val="Heading1"/>
      </w:pPr>
      <w:r>
        <w:t xml:space="preserve">10. Personal Protective Equipment</w:t>
      </w:r>
    </w:p>
    <w:p>
      <w:pPr>
        <w:pStyle w:val="Heading2"/>
      </w:pPr>
      <w:r>
        <w:t xml:space="preserve">10.1 General PPE Requirements</w:t>
      </w:r>
    </w:p>
    <w:p>
      <w:pPr>
        <w:pStyle w:val="ListParagraph"/>
        <w:numPr>
          <w:ilvl w:val="0"/>
          <w:numId w:val="2"/>
        </w:numPr>
        <w:spacing w:after="60"/>
      </w:pPr>
      <w:r>
        <w:t xml:space="preserve">Welding helmet with appropriate filter lens shade (see table below)</w:t>
      </w:r>
    </w:p>
    <w:p>
      <w:pPr>
        <w:pStyle w:val="ListParagraph"/>
        <w:numPr>
          <w:ilvl w:val="0"/>
          <w:numId w:val="2"/>
        </w:numPr>
        <w:spacing w:after="60"/>
      </w:pPr>
      <w:r>
        <w:t xml:space="preserve">Safety glasses with side shields (worn under the helmet)</w:t>
      </w:r>
    </w:p>
    <w:p>
      <w:pPr>
        <w:pStyle w:val="ListParagraph"/>
        <w:numPr>
          <w:ilvl w:val="0"/>
          <w:numId w:val="2"/>
        </w:numPr>
        <w:spacing w:after="60"/>
      </w:pPr>
      <w:r>
        <w:t xml:space="preserve">Flame-resistant clothing (FR-rated or leather) — no synthetic fabrics</w:t>
      </w:r>
    </w:p>
    <w:p>
      <w:pPr>
        <w:pStyle w:val="ListParagraph"/>
        <w:numPr>
          <w:ilvl w:val="0"/>
          <w:numId w:val="2"/>
        </w:numPr>
        <w:spacing w:after="60"/>
      </w:pPr>
      <w:r>
        <w:t xml:space="preserve">Leather welding gloves appropriate for the process</w:t>
      </w:r>
    </w:p>
    <w:p>
      <w:pPr>
        <w:pStyle w:val="ListParagraph"/>
        <w:numPr>
          <w:ilvl w:val="0"/>
          <w:numId w:val="2"/>
        </w:numPr>
        <w:spacing w:after="60"/>
      </w:pPr>
      <w:r>
        <w:t xml:space="preserve">Leather boots (minimum 6-inch high) or metatarsal guards</w:t>
      </w:r>
    </w:p>
    <w:p>
      <w:pPr>
        <w:pStyle w:val="ListParagraph"/>
        <w:numPr>
          <w:ilvl w:val="0"/>
          <w:numId w:val="2"/>
        </w:numPr>
        <w:spacing w:after="60"/>
      </w:pPr>
      <w:r>
        <w:t xml:space="preserve">Hearing protection when noise levels exceed 85 dBA</w:t>
      </w:r>
    </w:p>
    <w:p>
      <w:pPr>
        <w:pStyle w:val="ListParagraph"/>
        <w:numPr>
          <w:ilvl w:val="0"/>
          <w:numId w:val="2"/>
        </w:numPr>
        <w:spacing w:after="60"/>
      </w:pPr>
      <w:r>
        <w:t xml:space="preserve">Respiratory protection as determined by exposure assessment</w:t>
      </w:r>
    </w:p>
    <w:p>
      <w:pPr>
        <w:pStyle w:val="Heading2"/>
      </w:pPr>
      <w:r>
        <w:t xml:space="preserve">10.2 Filter Lens Shade Selection Guide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500"/>
        <w:gridCol w:w="2000"/>
        <w:gridCol w:w="23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Welding Process</w:t>
            </w:r>
          </w:p>
        </w:tc>
        <w:tc>
          <w:tcPr>
            <w:tcW w:type="dxa" w:w="2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Electrode Size / Current</w:t>
            </w:r>
          </w:p>
        </w:tc>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Minimum Shade</w:t>
            </w:r>
          </w:p>
        </w:tc>
        <w:tc>
          <w:tcPr>
            <w:tcW w:type="dxa" w:w="2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Suggested Shade</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SMAW (Stick)</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&lt; 3/32" (&lt; 60A)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7</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SMAW (Stick)</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3/32"–5/32" (60–160A)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8</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10–12</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SMAW (Stick)</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5/32"–1/4" (160–250A)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12</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SMAW (Stick)</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&gt; 1/4" (250–550A)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11</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12–14</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GMAW (MIG)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&lt; 60A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7</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GMAW (MIG)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60–160A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11</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GMAW (MIG)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160–250A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12</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GMAW (MIG)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250–500A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14</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GTAW (TIG)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&lt; 50A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8</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GTAW (TIG)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50–150A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8</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10–12</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GTAW (TIG)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150–500A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12–14</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FCAW</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60–160A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11</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FCAW</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160–250A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12</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FCAW</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250–500A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14</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Oxy-Fuel Cutting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Light (&lt; 1")</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3</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4–5</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Oxy-Fuel Cutting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Medium (1"–6")</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4</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5–6</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Oxy-Fuel Cutting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Heavy (&gt; 6")</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5</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6–8</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Plasma Arc Cutting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&lt; 300A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8</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9–12</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Plasma Arc Cutting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300–400A</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9</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12–14</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Oxy-Fuel Welding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Light</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4</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5–6</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Oxy-Fuel Welding</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Medium</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5</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6–8</w:t>
            </w:r>
          </w:p>
        </w:tc>
      </w:tr>
      <w:tr>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Oxy-Fuel Welding</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Heavy</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6</w:t>
            </w:r>
          </w:p>
        </w:tc>
        <w:tc>
          <w:tcPr>
            <w:tcW w:type="dxa" w:w="2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8</w:t>
            </w:r>
          </w:p>
        </w:tc>
      </w:tr>
    </w:tbl>
    <w:p>
      <w:pPr>
        <w:spacing w:after="0"/>
      </w:pPr>
    </w:p>
    <w:p>
      <w:pPr>
        <w:spacing w:after="120"/>
      </w:pPr>
      <w:r>
        <w:t xml:space="preserve">Note: Auto-darkening helmets shall be tested before each use to verify proper shade response. The minimum shade shall not be less than the values in this table.</w:t>
      </w:r>
    </w:p>
    <w:p>
      <w:r>
        <w:br w:type="page"/>
      </w:r>
    </w:p>
    <w:p>
      <w:pPr>
        <w:pStyle w:val="Heading1"/>
      </w:pPr>
      <w:r>
        <w:t xml:space="preserve">11. Welder Qualification</w:t>
      </w:r>
    </w:p>
    <w:p>
      <w:pPr>
        <w:spacing w:after="120"/>
      </w:pPr>
      <w:r>
        <w:t xml:space="preserve">Welders performing structural or code-required welds shall maintain current qualifications per applicable codes (AWS D1.1, ASME Section IX, API 1104, etc.). Qualifications shall include:</w:t>
      </w:r>
    </w:p>
    <w:p>
      <w:pPr>
        <w:pStyle w:val="ListParagraph"/>
        <w:numPr>
          <w:ilvl w:val="0"/>
          <w:numId w:val="2"/>
        </w:numPr>
        <w:spacing w:after="60"/>
      </w:pPr>
      <w:r>
        <w:t xml:space="preserve">Welding procedure specification (WPS) applicable to the work</w:t>
      </w:r>
    </w:p>
    <w:p>
      <w:pPr>
        <w:pStyle w:val="ListParagraph"/>
        <w:numPr>
          <w:ilvl w:val="0"/>
          <w:numId w:val="2"/>
        </w:numPr>
        <w:spacing w:after="60"/>
      </w:pPr>
      <w:r>
        <w:t xml:space="preserve">Performance qualification tests per the applicable code</w:t>
      </w:r>
    </w:p>
    <w:p>
      <w:pPr>
        <w:pStyle w:val="ListParagraph"/>
        <w:numPr>
          <w:ilvl w:val="0"/>
          <w:numId w:val="2"/>
        </w:numPr>
        <w:spacing w:after="60"/>
      </w:pPr>
      <w:r>
        <w:t xml:space="preserve">Documentation of qualification test results</w:t>
      </w:r>
    </w:p>
    <w:p>
      <w:pPr>
        <w:pStyle w:val="ListParagraph"/>
        <w:numPr>
          <w:ilvl w:val="0"/>
          <w:numId w:val="2"/>
        </w:numPr>
        <w:spacing w:after="60"/>
      </w:pPr>
      <w:r>
        <w:t xml:space="preserve">Requalification when a welder has not used a specific process for 6 months or more</w:t>
      </w:r>
    </w:p>
    <w:p>
      <w:pPr>
        <w:spacing w:after="0"/>
      </w:pPr>
    </w:p>
    <w:p>
      <w:pPr>
        <w:spacing w:after="120"/>
      </w:pPr>
      <w:r>
        <w:t xml:space="preserve">Qualification records shall be maintained at the worksite and available for review.</w:t>
      </w:r>
    </w:p>
    <w:p>
      <w:pPr>
        <w:pStyle w:val="Heading1"/>
      </w:pPr>
      <w:r>
        <w:t xml:space="preserve">12. Training</w:t>
      </w:r>
    </w:p>
    <w:p>
      <w:pPr>
        <w:spacing w:after="120"/>
      </w:pPr>
      <w:r>
        <w:t xml:space="preserve">All employees who perform or supervise hot work shall receive training before initial assignment and annually thereafter, covering:</w:t>
      </w:r>
    </w:p>
    <w:p>
      <w:pPr>
        <w:pStyle w:val="ListParagraph"/>
        <w:numPr>
          <w:ilvl w:val="0"/>
          <w:numId w:val="2"/>
        </w:numPr>
        <w:spacing w:after="60"/>
      </w:pPr>
      <w:r>
        <w:t xml:space="preserve">This written program and its requirements</w:t>
      </w:r>
    </w:p>
    <w:p>
      <w:pPr>
        <w:pStyle w:val="ListParagraph"/>
        <w:numPr>
          <w:ilvl w:val="0"/>
          <w:numId w:val="2"/>
        </w:numPr>
        <w:spacing w:after="60"/>
      </w:pPr>
      <w:r>
        <w:t xml:space="preserve">Hot work permit procedures</w:t>
      </w:r>
    </w:p>
    <w:p>
      <w:pPr>
        <w:pStyle w:val="ListParagraph"/>
        <w:numPr>
          <w:ilvl w:val="0"/>
          <w:numId w:val="2"/>
        </w:numPr>
        <w:spacing w:after="60"/>
      </w:pPr>
      <w:r>
        <w:t xml:space="preserve">Fire prevention and fire watch duties</w:t>
      </w:r>
    </w:p>
    <w:p>
      <w:pPr>
        <w:pStyle w:val="ListParagraph"/>
        <w:numPr>
          <w:ilvl w:val="0"/>
          <w:numId w:val="2"/>
        </w:numPr>
        <w:spacing w:after="60"/>
      </w:pPr>
      <w:r>
        <w:t xml:space="preserve">Equipment inspection and safe operation</w:t>
      </w:r>
    </w:p>
    <w:p>
      <w:pPr>
        <w:pStyle w:val="ListParagraph"/>
        <w:numPr>
          <w:ilvl w:val="0"/>
          <w:numId w:val="2"/>
        </w:numPr>
        <w:spacing w:after="60"/>
      </w:pPr>
      <w:r>
        <w:t xml:space="preserve">Hazards of welding fumes and ventilation requirements</w:t>
      </w:r>
    </w:p>
    <w:p>
      <w:pPr>
        <w:pStyle w:val="ListParagraph"/>
        <w:numPr>
          <w:ilvl w:val="0"/>
          <w:numId w:val="2"/>
        </w:numPr>
        <w:spacing w:after="60"/>
      </w:pPr>
      <w:r>
        <w:t xml:space="preserve">PPE selection and use</w:t>
      </w:r>
    </w:p>
    <w:p>
      <w:pPr>
        <w:pStyle w:val="ListParagraph"/>
        <w:numPr>
          <w:ilvl w:val="0"/>
          <w:numId w:val="2"/>
        </w:numPr>
        <w:spacing w:after="60"/>
      </w:pPr>
      <w:r>
        <w:t xml:space="preserve">Emergency procedures and fire extinguisher use</w:t>
      </w:r>
    </w:p>
    <w:p>
      <w:pPr>
        <w:pStyle w:val="ListParagraph"/>
        <w:numPr>
          <w:ilvl w:val="0"/>
          <w:numId w:val="2"/>
        </w:numPr>
        <w:spacing w:after="60"/>
      </w:pPr>
      <w:r>
        <w:t xml:space="preserve">Special precautions (confined space welding, galvanized/stainless steel)</w:t>
      </w:r>
    </w:p>
    <w:p>
      <w:pPr>
        <w:spacing w:after="0"/>
      </w:pPr>
    </w:p>
    <w:p>
      <w:pPr>
        <w:spacing w:after="120"/>
      </w:pPr>
      <w:r>
        <w:t xml:space="preserve">Fire watch personnel shall receive specific training on their duties before serving in that capacity.</w:t>
      </w:r>
    </w:p>
    <w:p>
      <w:pPr>
        <w:pStyle w:val="Heading1"/>
      </w:pPr>
      <w:r>
        <w:t xml:space="preserve">13. Recordkeeping</w:t>
      </w:r>
    </w:p>
    <w:p>
      <w:pPr>
        <w:pStyle w:val="ListParagraph"/>
        <w:numPr>
          <w:ilvl w:val="0"/>
          <w:numId w:val="2"/>
        </w:numPr>
        <w:spacing w:after="60"/>
      </w:pPr>
      <w:r>
        <w:t xml:space="preserve">Hot work permits: retained for at least 1 year</w:t>
      </w:r>
    </w:p>
    <w:p>
      <w:pPr>
        <w:pStyle w:val="ListParagraph"/>
        <w:numPr>
          <w:ilvl w:val="0"/>
          <w:numId w:val="2"/>
        </w:numPr>
        <w:spacing w:after="60"/>
      </w:pPr>
      <w:r>
        <w:t xml:space="preserve">Training records: maintained for duration of employment</w:t>
      </w:r>
    </w:p>
    <w:p>
      <w:pPr>
        <w:pStyle w:val="ListParagraph"/>
        <w:numPr>
          <w:ilvl w:val="0"/>
          <w:numId w:val="2"/>
        </w:numPr>
        <w:spacing w:after="60"/>
      </w:pPr>
      <w:r>
        <w:t xml:space="preserve">Welder qualifications: maintained current and on-site</w:t>
      </w:r>
    </w:p>
    <w:p>
      <w:pPr>
        <w:pStyle w:val="ListParagraph"/>
        <w:numPr>
          <w:ilvl w:val="0"/>
          <w:numId w:val="2"/>
        </w:numPr>
        <w:spacing w:after="60"/>
      </w:pPr>
      <w:r>
        <w:t xml:space="preserve">Equipment inspection records: maintained for 3 years</w:t>
      </w:r>
    </w:p>
    <w:p>
      <w:pPr>
        <w:pStyle w:val="ListParagraph"/>
        <w:numPr>
          <w:ilvl w:val="0"/>
          <w:numId w:val="2"/>
        </w:numPr>
        <w:spacing w:after="60"/>
      </w:pPr>
      <w:r>
        <w:t xml:space="preserve">Welding fume exposure monitoring results: maintained per 29 CFR 1910.1020 (30 years)</w:t>
      </w:r>
    </w:p>
    <w:p>
      <w:pPr>
        <w:pStyle w:val="ListParagraph"/>
        <w:numPr>
          <w:ilvl w:val="0"/>
          <w:numId w:val="2"/>
        </w:numPr>
        <w:spacing w:after="60"/>
      </w:pPr>
      <w:r>
        <w:t xml:space="preserve">Incident/fire reports: retained for 5 years</w:t>
      </w:r>
    </w:p>
    <w:p>
      <w:r>
        <w:br w:type="page"/>
      </w:r>
    </w:p>
    <w:p>
      <w:pPr>
        <w:pStyle w:val="Heading1"/>
      </w:pPr>
      <w:r>
        <w:t xml:space="preserve">Appendix A: Hot Work Permit Form</w:t>
      </w:r>
    </w:p>
    <w:p>
      <w:pPr>
        <w:spacing w:after="120"/>
        <w:rPr>
          <w:i/>
          <w:iCs/>
          <w:color w:val="666666"/>
        </w:rPr>
      </w:pPr>
      <w:r>
        <w:rPr>
          <w:i/>
          <w:iCs/>
          <w:color w:val="666666"/>
        </w:rPr>
        <w:t xml:space="preserve">Complete before beginning any hot work outside designated welding areas.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Permit Number:</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Date: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Work Location:</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Type of Hot Work:</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Work Description:</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Permit Issuer:</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Hot Work Operator:</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Start Time: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Estimated Completion Time: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p>
      <w:pPr>
        <w:pStyle w:val="Heading2"/>
      </w:pPr>
      <w:r>
        <w:t xml:space="preserve">Pre-Work Fire Prevention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360"/>
        <w:gridCol w:w="2000"/>
      </w:tblGrid>
      <w:tr>
        <w:trPr>
          <w:tblHeader/>
        </w:trPr>
        <w:tc>
          <w:tcPr>
            <w:tcW w:type="dxa" w:w="7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Item</w:t>
            </w:r>
          </w:p>
        </w:tc>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Y/N/NA</w:t>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Combustibles removed or protected within 35 feet?</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Floors swept clean of combustible debris?</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Combustible floors protected (wet down or fire-resistant covers)?</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Wall/floor/ceiling openings within 35 feet covered?</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Combustible materials on opposite side of walls/partitions protected?</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Fire extinguisher (min 20-lb ABC) immediately available?</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Sprinkler system operational?</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Fire watch assigned (where required)?</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Confined space permit obtained (if applicable)?</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Hot work area ventilated adequately?</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Smoke/fire detection systems operational or bypassed with notification?</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Affected personnel notified?</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7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Flammable liquids/gases secured or removed?</w:t>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Fire Watch</w:t>
      </w:r>
    </w:p>
    <w:p>
      <w:pPr>
        <w:spacing w:after="120"/>
      </w:pPr>
      <w:r>
        <w:t xml:space="preserve">Fire watch name: ________________________  Start time: ______________</w:t>
      </w:r>
    </w:p>
    <w:p>
      <w:pPr>
        <w:spacing w:after="120"/>
      </w:pPr>
      <w:r>
        <w:t xml:space="preserve">Fire watch duration after completion: ☐ 30 min  ☐ 60 min  ☐ Other: ______________</w:t>
      </w:r>
    </w:p>
    <w:p>
      <w:pPr>
        <w:spacing w:after="120"/>
      </w:pPr>
      <w:r>
        <w:t xml:space="preserve">Fire watch completed: ☐ Yes  Time: ______________  Signature: ________________________</w:t>
      </w:r>
    </w:p>
    <w:p>
      <w:pPr>
        <w:spacing w:after="0"/>
      </w:pPr>
    </w:p>
    <w:p>
      <w:pPr>
        <w:pStyle w:val="Heading2"/>
      </w:pPr>
      <w:r>
        <w:t xml:space="preserve">Authorization</w:t>
      </w:r>
    </w:p>
    <w:p>
      <w:pPr>
        <w:spacing w:after="120"/>
      </w:pPr>
      <w:r>
        <w:t xml:space="preserve">I have inspected the work area and verified all fire prevention measures are in place.</w:t>
      </w:r>
    </w:p>
    <w:p>
      <w:pPr>
        <w:spacing w:after="120"/>
      </w:pPr>
      <w:r>
        <w:t xml:space="preserve">Permit Issuer Signature: ________________________  Date/Time: ______________</w:t>
      </w:r>
    </w:p>
    <w:p>
      <w:pPr>
        <w:spacing w:after="120"/>
      </w:pPr>
      <w:r>
        <w:t xml:space="preserve">Hot Work Operator Signature: ________________________  Date/Time: ______________</w:t>
      </w:r>
    </w:p>
    <w:p>
      <w:pPr>
        <w:spacing w:after="0"/>
      </w:pPr>
    </w:p>
    <w:p>
      <w:pPr>
        <w:pStyle w:val="Heading2"/>
      </w:pPr>
      <w:r>
        <w:t xml:space="preserve">Permit Closure</w:t>
      </w:r>
    </w:p>
    <w:p>
      <w:pPr>
        <w:spacing w:after="120"/>
      </w:pPr>
      <w:r>
        <w:t xml:space="preserve">Work area inspected after fire watch period — no fire hazards observed: ☐ Yes</w:t>
      </w:r>
    </w:p>
    <w:p>
      <w:pPr>
        <w:spacing w:after="120"/>
      </w:pPr>
      <w:r>
        <w:t xml:space="preserve">Permit closed by: ________________________  Date/Time: ______________</w:t>
      </w:r>
    </w:p>
    <w:p>
      <w:r>
        <w:br w:type="page"/>
      </w:r>
    </w:p>
    <w:p>
      <w:pPr>
        <w:pStyle w:val="Heading1"/>
      </w:pPr>
      <w:r>
        <w:t xml:space="preserve">Appendix B: Welding Equipment Daily Inspection Checklist</w:t>
      </w:r>
    </w:p>
    <w:p>
      <w:pPr>
        <w:spacing w:after="120"/>
        <w:rPr>
          <w:i/>
          <w:iCs/>
          <w:color w:val="666666"/>
        </w:rPr>
      </w:pPr>
      <w:r>
        <w:rPr>
          <w:i/>
          <w:iCs/>
          <w:color w:val="666666"/>
        </w:rPr>
        <w:t xml:space="preserve">Complete at the start of each shift or before first use.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Date: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Inspector:</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Equipment Type: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Equipment ID/Serial:</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Location:</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Manufacturer/Model:</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p>
      <w:pPr>
        <w:pStyle w:val="Heading2"/>
      </w:pPr>
      <w:r>
        <w:t xml:space="preserve">Arc Welding Equipment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900"/>
        <w:gridCol w:w="900"/>
        <w:gridCol w:w="900"/>
        <w:gridCol w:w="3160"/>
      </w:tblGrid>
      <w:tr>
        <w:trPr>
          <w:tblHeader/>
        </w:trPr>
        <w:tc>
          <w:tcPr>
            <w:tcW w:type="dxa" w:w="3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Inspection Item</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Pass</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Fail</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N/A</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Comments</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Power source: housing intact, no damage</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Power cord/plug: no damage, proper grounding</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Welding cables: insulation intact, no bare spots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Electrode holder: insulation intact, jaws functional</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Ground clamp: functional, clean contact surfaces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Cable connections: tight, no corrosion</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Cooling system (if applicable): operational, no leaks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Wire feeder (if applicable): operational</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GFCI protection available (for wet/damp conditions)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Oxy-Fuel Equipment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900"/>
        <w:gridCol w:w="900"/>
        <w:gridCol w:w="900"/>
        <w:gridCol w:w="3160"/>
      </w:tblGrid>
      <w:tr>
        <w:trPr>
          <w:tblHeader/>
        </w:trPr>
        <w:tc>
          <w:tcPr>
            <w:tcW w:type="dxa" w:w="3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Inspection Item</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Pass</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Fail</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N/A</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Comments</w:t>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Cylinders secured upright</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Cylinder valves: no damage, no leaks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Valve protection caps: available for storage</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Regulators: gauges functional, no damage</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Flashback arrestors: installed on both lines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Hoses: no cracks, burns, or worn spots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Hose connections: tight, proper fittings</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Torch: cutting tip clean, valves functional</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Leak test completed (soapy water)</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O₂ and fuel gas stored 20 ft apart or barrier in place</w:t>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9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spacing w:after="120"/>
      </w:pPr>
      <w:r>
        <w:t xml:space="preserve">Deficiencies noted — equipment removed from service: ☐ Yes  ☐ No</w:t>
      </w:r>
    </w:p>
    <w:p>
      <w:pPr>
        <w:spacing w:after="120"/>
      </w:pPr>
      <w:r>
        <w:t xml:space="preserve">Corrective action: ________________________________________</w:t>
      </w:r>
    </w:p>
    <w:p>
      <w:pPr>
        <w:spacing w:after="120"/>
      </w:pPr>
      <w:r>
        <w:t xml:space="preserve">Inspector Signature: ________________________  Supervisor Review: ________________________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none" w:color="FFFFFF" w:sz="0"/>
            <w:bottom w:val="none" w:color="FFFFFF" w:sz="0"/>
            <w:right w:val="none" w:color="FFFFFF" w:sz="0"/>
          </w:tcBorders>
          <w:tcMar>
            <w:top w:type="dxa" w:w="60"/>
            <w:left w:type="dxa" w:w="0"/>
            <w:bottom w:type="dxa" w:w="0"/>
            <w:right w:type="dxa" w:w="0"/>
          </w:tcMar>
        </w:tcPr>
        <w:p>
          <w:pPr>
            <w:jc w:val="center"/>
          </w:pPr>
          <w:r>
            <w:rPr>
              <w:rFonts w:ascii="Calibri" w:cs="Calibri" w:eastAsia="Calibri" w:hAnsi="Calibri"/>
              <w:color w:val="666666"/>
              <w:sz w:val="16"/>
              <w:szCs w:val="16"/>
            </w:rPr>
            <w:t xml:space="preserve">Welding, Cutting &amp; Brazing Safety  |  [COMPANY NAME]  |  Page </w:t>
          </w:r>
          <w:r>
            <w:rPr>
              <w:color w:val="666666"/>
              <w:sz w:val="16"/>
              <w:szCs w:val="16"/>
            </w:rPr>
            <w:fldChar w:fldCharType="begin"/>
            <w:instrText xml:space="preserve">PAGE</w:instrText>
            <w:fldChar w:fldCharType="separate"/>
            <w:fldChar w:fldCharType="end"/>
          </w:r>
          <w:r>
            <w:rPr>
              <w:color w:val="666666"/>
              <w:sz w:val="16"/>
              <w:szCs w:val="16"/>
            </w:rPr>
            <w:t xml:space="preserve"> of </w:t>
          </w:r>
          <w:r>
            <w:rPr>
              <w:color w:val="666666"/>
              <w:sz w:val="16"/>
              <w:szCs w:val="16"/>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2026-03-16T00:11:06.621Z</dcterms:created>
  <dcterms:modified xsi:type="dcterms:W3CDTF">2026-03-16T00:11:06.621Z</dcterms:modified>
</cp:coreProperties>
</file>

<file path=docProps/custom.xml><?xml version="1.0" encoding="utf-8"?>
<Properties xmlns="http://schemas.openxmlformats.org/officeDocument/2006/custom-properties" xmlns:vt="http://schemas.openxmlformats.org/officeDocument/2006/docPropsVTypes"/>
</file>