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000"/>
      </w:pPr>
    </w:p>
    <w:p>
      <w:pPr>
        <w:spacing w:after="200"/>
        <w:jc w:val="center"/>
      </w:pPr>
      <w:r>
        <w:rPr>
          <w:rFonts w:ascii="Calibri" w:cs="Calibri" w:eastAsia="Calibri" w:hAnsi="Calibri"/>
          <w:b/>
          <w:bCs/>
          <w:color w:val="1B2A4A"/>
          <w:sz w:val="56"/>
          <w:szCs w:val="56"/>
        </w:rPr>
        <w:t xml:space="preserve">HAZARD COMMUNICATION</w:t>
      </w:r>
    </w:p>
    <w:p>
      <w:pPr>
        <w:spacing w:after="100"/>
        <w:jc w:val="center"/>
      </w:pPr>
      <w:r>
        <w:rPr>
          <w:rFonts w:ascii="Calibri" w:cs="Calibri" w:eastAsia="Calibri" w:hAnsi="Calibri"/>
          <w:b/>
          <w:bCs/>
          <w:color w:val="1B2A4A"/>
          <w:sz w:val="48"/>
          <w:szCs w:val="48"/>
        </w:rPr>
        <w:t xml:space="preserve">(HazCom) PROGRAM</w:t>
      </w:r>
    </w:p>
    <w:p>
      <w:pPr>
        <w:spacing w:after="400"/>
        <w:jc w:val="center"/>
      </w:pPr>
      <w:r>
        <w:rPr>
          <w:rFonts w:ascii="Calibri" w:cs="Calibri" w:eastAsia="Calibri" w:hAnsi="Calibri"/>
          <w:color w:val="666666"/>
          <w:sz w:val="28"/>
          <w:szCs w:val="28"/>
        </w:rPr>
        <w:t xml:space="preserve">Written Safety Program</w:t>
      </w:r>
    </w:p>
    <w:p>
      <w:pPr>
        <w:spacing w:after="600"/>
        <w:jc w:val="center"/>
      </w:pPr>
      <w:r>
        <w:rPr>
          <w:rFonts w:ascii="Calibri" w:cs="Calibri" w:eastAsia="Calibri" w:hAnsi="Calibri"/>
          <w:b/>
          <w:bCs/>
          <w:color w:val="1B2A4A"/>
          <w:sz w:val="24"/>
          <w:szCs w:val="24"/>
        </w:rPr>
        <w:t xml:space="preserve">Per 29 CFR 1910.1200 — Globally Harmonized System (GHS) Aligned</w:t>
      </w:r>
    </w:p>
    <w:tbl>
      <w:tblPr>
        <w:tblW w:type="dxa" w:w="4000"/>
        <w:tblBorders>
          <w:top w:val="single" w:color="auto" w:sz="4"/>
          <w:left w:val="single" w:color="auto" w:sz="4"/>
          <w:bottom w:val="single" w:color="auto" w:sz="4"/>
          <w:right w:val="single" w:color="auto" w:sz="4"/>
          <w:insideH w:val="single" w:color="auto" w:sz="4"/>
          <w:insideV w:val="single" w:color="auto" w:sz="4"/>
        </w:tblBorders>
      </w:tblPr>
      <w:tblGrid>
        <w:gridCol w:w="100"/>
      </w:tblGrid>
      <w:tr>
        <w:tc>
          <w:tcPr>
            <w:tcW w:type="dxa" w:w="4000"/>
            <w:tcBorders>
              <w:top w:val="none"/>
              <w:left w:val="none"/>
              <w:bottom w:val="single" w:color="1B2A4A" w:sz="6"/>
              <w:right w:val="none"/>
            </w:tcBorders>
          </w:tcPr>
          <w:p>
            <w:pPr>
              <w:spacing w:after="0" w:before="0"/>
            </w:pPr>
          </w:p>
        </w:tc>
      </w:tr>
    </w:tbl>
    <w:p>
      <w:pPr>
        <w:spacing w:before="400"/>
        <w:jc w:val="center"/>
      </w:pPr>
      <w:r>
        <w:rPr>
          <w:rFonts w:ascii="Calibri" w:cs="Calibri" w:eastAsia="Calibri" w:hAnsi="Calibri"/>
          <w:b/>
          <w:bCs/>
          <w:color w:val="1B2A4A"/>
          <w:sz w:val="32"/>
          <w:szCs w:val="32"/>
        </w:rPr>
        <w:t xml:space="preserve">[COMPANY NAME]</w:t>
      </w:r>
    </w:p>
    <w:p>
      <w:pPr>
        <w:spacing w:after="200"/>
        <w:jc w:val="center"/>
      </w:pPr>
      <w:r>
        <w:rPr>
          <w:rFonts w:ascii="Calibri" w:cs="Calibri" w:eastAsia="Calibri" w:hAnsi="Calibri"/>
          <w:color w:val="666666"/>
          <w:sz w:val="22"/>
          <w:szCs w:val="22"/>
        </w:rPr>
        <w:t xml:space="preserve">[Company Address]</w:t>
      </w:r>
    </w:p>
    <w:p>
      <w:pPr>
        <w:jc w:val="center"/>
      </w:pPr>
      <w:r>
        <w:rPr>
          <w:rFonts w:ascii="Calibri" w:cs="Calibri" w:eastAsia="Calibri" w:hAnsi="Calibri"/>
          <w:color w:val="666666"/>
          <w:sz w:val="22"/>
          <w:szCs w:val="22"/>
        </w:rPr>
        <w:t xml:space="preserve">Effective Date: _______________</w:t>
      </w:r>
    </w:p>
    <w:p>
      <w:pPr>
        <w:jc w:val="center"/>
      </w:pPr>
      <w:r>
        <w:rPr>
          <w:rFonts w:ascii="Calibri" w:cs="Calibri" w:eastAsia="Calibri" w:hAnsi="Calibri"/>
          <w:color w:val="666666"/>
          <w:sz w:val="22"/>
          <w:szCs w:val="22"/>
        </w:rPr>
        <w:t xml:space="preserve">Revision Date: _______________</w:t>
      </w:r>
    </w:p>
    <w:p>
      <w:pPr>
        <w:spacing w:before="2000"/>
        <w:jc w:val="center"/>
      </w:pPr>
      <w:r>
        <w:rPr>
          <w:rFonts w:ascii="Calibri" w:cs="Calibri" w:eastAsia="Calibri" w:hAnsi="Calibri"/>
          <w:i/>
          <w:iCs/>
          <w:color w:val="999999"/>
          <w:sz w:val="20"/>
          <w:szCs w:val="20"/>
        </w:rPr>
        <w:t xml:space="preserve">Prepared by Forbes Safety Solutions</w:t>
      </w:r>
    </w:p>
    <w:p>
      <w:pPr>
        <w:sectPr>
          <w:pgSz w:w="12240" w:h="15840" w:orient="portrait"/>
          <w:pgMar w:top="1440" w:right="1440" w:bottom="1440" w:left="1440" w:header="708" w:footer="708" w:gutter="0"/>
          <w:pgNumType/>
          <w:docGrid w:linePitch="360"/>
        </w:sectPr>
      </w:pPr>
    </w:p>
    <w:p>
      <w:pPr>
        <w:pStyle w:val="Heading1"/>
      </w:pPr>
      <w:r>
        <w:rPr>
          <w:rFonts w:ascii="Calibri" w:cs="Calibri" w:eastAsia="Calibri" w:hAnsi="Calibri"/>
          <w:b/>
          <w:bCs/>
          <w:color w:val="1B2A4A"/>
          <w:sz w:val="32"/>
          <w:szCs w:val="32"/>
        </w:rPr>
        <w:t xml:space="preserve">Table of Contents</w:t>
      </w:r>
    </w:p>
    <w:p>
      <w:pPr>
        <w:spacing w:after="120" w:before="0"/>
        <w:jc w:val="left"/>
      </w:pPr>
      <w:r>
        <w:rPr>
          <w:rFonts w:ascii="Calibri" w:cs="Calibri" w:eastAsia="Calibri" w:hAnsi="Calibri"/>
          <w:b w:val="false"/>
          <w:bCs w:val="false"/>
          <w:i w:val="false"/>
          <w:iCs w:val="false"/>
          <w:color w:val="000000"/>
          <w:sz w:val="22"/>
          <w:szCs w:val="22"/>
        </w:rPr>
        <w:t xml:space="preserve">1.0  Purpose and Scope</w:t>
      </w:r>
    </w:p>
    <w:p>
      <w:pPr>
        <w:spacing w:after="120" w:before="0"/>
        <w:jc w:val="left"/>
      </w:pPr>
      <w:r>
        <w:rPr>
          <w:rFonts w:ascii="Calibri" w:cs="Calibri" w:eastAsia="Calibri" w:hAnsi="Calibri"/>
          <w:b w:val="false"/>
          <w:bCs w:val="false"/>
          <w:i w:val="false"/>
          <w:iCs w:val="false"/>
          <w:color w:val="000000"/>
          <w:sz w:val="22"/>
          <w:szCs w:val="22"/>
        </w:rPr>
        <w:t xml:space="preserve">2.0  Responsibilities</w:t>
      </w:r>
    </w:p>
    <w:p>
      <w:pPr>
        <w:spacing w:after="120" w:before="0"/>
        <w:jc w:val="left"/>
      </w:pPr>
      <w:r>
        <w:rPr>
          <w:rFonts w:ascii="Calibri" w:cs="Calibri" w:eastAsia="Calibri" w:hAnsi="Calibri"/>
          <w:b w:val="false"/>
          <w:bCs w:val="false"/>
          <w:i w:val="false"/>
          <w:iCs w:val="false"/>
          <w:color w:val="000000"/>
          <w:sz w:val="22"/>
          <w:szCs w:val="22"/>
        </w:rPr>
        <w:t xml:space="preserve">3.0  Hazard Classification</w:t>
      </w:r>
    </w:p>
    <w:p>
      <w:pPr>
        <w:spacing w:after="120" w:before="0"/>
        <w:jc w:val="left"/>
      </w:pPr>
      <w:r>
        <w:rPr>
          <w:rFonts w:ascii="Calibri" w:cs="Calibri" w:eastAsia="Calibri" w:hAnsi="Calibri"/>
          <w:b w:val="false"/>
          <w:bCs w:val="false"/>
          <w:i w:val="false"/>
          <w:iCs w:val="false"/>
          <w:color w:val="000000"/>
          <w:sz w:val="22"/>
          <w:szCs w:val="22"/>
        </w:rPr>
        <w:t xml:space="preserve">4.0  Safety Data Sheets (SDS)</w:t>
      </w:r>
    </w:p>
    <w:p>
      <w:pPr>
        <w:spacing w:after="120" w:before="0"/>
        <w:jc w:val="left"/>
      </w:pPr>
      <w:r>
        <w:rPr>
          <w:rFonts w:ascii="Calibri" w:cs="Calibri" w:eastAsia="Calibri" w:hAnsi="Calibri"/>
          <w:b w:val="false"/>
          <w:bCs w:val="false"/>
          <w:i w:val="false"/>
          <w:iCs w:val="false"/>
          <w:color w:val="000000"/>
          <w:sz w:val="22"/>
          <w:szCs w:val="22"/>
        </w:rPr>
        <w:t xml:space="preserve">5.0  Labeling Requirements</w:t>
      </w:r>
    </w:p>
    <w:p>
      <w:pPr>
        <w:spacing w:after="120" w:before="0"/>
        <w:jc w:val="left"/>
      </w:pPr>
      <w:r>
        <w:rPr>
          <w:rFonts w:ascii="Calibri" w:cs="Calibri" w:eastAsia="Calibri" w:hAnsi="Calibri"/>
          <w:b w:val="false"/>
          <w:bCs w:val="false"/>
          <w:i w:val="false"/>
          <w:iCs w:val="false"/>
          <w:color w:val="000000"/>
          <w:sz w:val="22"/>
          <w:szCs w:val="22"/>
        </w:rPr>
        <w:t xml:space="preserve">6.0  Chemical Inventory</w:t>
      </w:r>
    </w:p>
    <w:p>
      <w:pPr>
        <w:spacing w:after="120" w:before="0"/>
        <w:jc w:val="left"/>
      </w:pPr>
      <w:r>
        <w:rPr>
          <w:rFonts w:ascii="Calibri" w:cs="Calibri" w:eastAsia="Calibri" w:hAnsi="Calibri"/>
          <w:b w:val="false"/>
          <w:bCs w:val="false"/>
          <w:i w:val="false"/>
          <w:iCs w:val="false"/>
          <w:color w:val="000000"/>
          <w:sz w:val="22"/>
          <w:szCs w:val="22"/>
        </w:rPr>
        <w:t xml:space="preserve">7.0  Employee Training</w:t>
      </w:r>
    </w:p>
    <w:p>
      <w:pPr>
        <w:spacing w:after="120" w:before="0"/>
        <w:jc w:val="left"/>
      </w:pPr>
      <w:r>
        <w:rPr>
          <w:rFonts w:ascii="Calibri" w:cs="Calibri" w:eastAsia="Calibri" w:hAnsi="Calibri"/>
          <w:b w:val="false"/>
          <w:bCs w:val="false"/>
          <w:i w:val="false"/>
          <w:iCs w:val="false"/>
          <w:color w:val="000000"/>
          <w:sz w:val="22"/>
          <w:szCs w:val="22"/>
        </w:rPr>
        <w:t xml:space="preserve">8.0  Non-Routine Tasks</w:t>
      </w:r>
    </w:p>
    <w:p>
      <w:pPr>
        <w:spacing w:after="120" w:before="0"/>
        <w:jc w:val="left"/>
      </w:pPr>
      <w:r>
        <w:rPr>
          <w:rFonts w:ascii="Calibri" w:cs="Calibri" w:eastAsia="Calibri" w:hAnsi="Calibri"/>
          <w:b w:val="false"/>
          <w:bCs w:val="false"/>
          <w:i w:val="false"/>
          <w:iCs w:val="false"/>
          <w:color w:val="000000"/>
          <w:sz w:val="22"/>
          <w:szCs w:val="22"/>
        </w:rPr>
        <w:t xml:space="preserve">9.0  Contractor Notification</w:t>
      </w:r>
    </w:p>
    <w:p>
      <w:pPr>
        <w:spacing w:after="120" w:before="0"/>
        <w:jc w:val="left"/>
      </w:pPr>
      <w:r>
        <w:rPr>
          <w:rFonts w:ascii="Calibri" w:cs="Calibri" w:eastAsia="Calibri" w:hAnsi="Calibri"/>
          <w:b w:val="false"/>
          <w:bCs w:val="false"/>
          <w:i w:val="false"/>
          <w:iCs w:val="false"/>
          <w:color w:val="000000"/>
          <w:sz w:val="22"/>
          <w:szCs w:val="22"/>
        </w:rPr>
        <w:t xml:space="preserve">10.0  Multi-Employer Worksites</w:t>
      </w:r>
    </w:p>
    <w:p>
      <w:pPr>
        <w:spacing w:after="120" w:before="0"/>
        <w:jc w:val="left"/>
      </w:pPr>
      <w:r>
        <w:rPr>
          <w:rFonts w:ascii="Calibri" w:cs="Calibri" w:eastAsia="Calibri" w:hAnsi="Calibri"/>
          <w:b w:val="false"/>
          <w:bCs w:val="false"/>
          <w:i w:val="false"/>
          <w:iCs w:val="false"/>
          <w:color w:val="000000"/>
          <w:sz w:val="22"/>
          <w:szCs w:val="22"/>
        </w:rPr>
        <w:t xml:space="preserve">11.0  Recordkeeping</w:t>
      </w:r>
    </w:p>
    <w:p>
      <w:pPr>
        <w:spacing w:after="120" w:before="0"/>
        <w:jc w:val="left"/>
      </w:pPr>
      <w:r>
        <w:rPr>
          <w:rFonts w:ascii="Calibri" w:cs="Calibri" w:eastAsia="Calibri" w:hAnsi="Calibri"/>
          <w:b w:val="false"/>
          <w:bCs w:val="false"/>
          <w:i w:val="false"/>
          <w:iCs w:val="false"/>
          <w:color w:val="000000"/>
          <w:sz w:val="22"/>
          <w:szCs w:val="22"/>
        </w:rPr>
        <w:t xml:space="preserve">Appendix A: Chemical Inventory Template</w:t>
      </w:r>
    </w:p>
    <w:p>
      <w:pPr>
        <w:spacing w:after="120" w:before="0"/>
        <w:jc w:val="left"/>
      </w:pPr>
      <w:r>
        <w:rPr>
          <w:rFonts w:ascii="Calibri" w:cs="Calibri" w:eastAsia="Calibri" w:hAnsi="Calibri"/>
          <w:b w:val="false"/>
          <w:bCs w:val="false"/>
          <w:i w:val="false"/>
          <w:iCs w:val="false"/>
          <w:color w:val="000000"/>
          <w:sz w:val="22"/>
          <w:szCs w:val="22"/>
        </w:rPr>
        <w:t xml:space="preserve">Appendix B: SDS Request Letter Template</w:t>
      </w:r>
    </w:p>
    <w:p>
      <w:pPr>
        <w:spacing w:after="120" w:before="0"/>
        <w:jc w:val="left"/>
      </w:pPr>
      <w:r>
        <w:rPr>
          <w:rFonts w:ascii="Calibri" w:cs="Calibri" w:eastAsia="Calibri" w:hAnsi="Calibri"/>
          <w:b w:val="false"/>
          <w:bCs w:val="false"/>
          <w:i w:val="false"/>
          <w:iCs w:val="false"/>
          <w:color w:val="000000"/>
          <w:sz w:val="22"/>
          <w:szCs w:val="22"/>
        </w:rPr>
        <w:t xml:space="preserve">Appendix C: Training Sign-Off Sheet</w:t>
      </w:r>
    </w:p>
    <w:p>
      <w:pPr>
        <w:spacing w:after="120" w:before="0"/>
        <w:jc w:val="left"/>
      </w:pPr>
      <w:r>
        <w:rPr>
          <w:rFonts w:ascii="Calibri" w:cs="Calibri" w:eastAsia="Calibri" w:hAnsi="Calibri"/>
          <w:b w:val="false"/>
          <w:bCs w:val="false"/>
          <w:i w:val="false"/>
          <w:iCs w:val="false"/>
          <w:color w:val="000000"/>
          <w:sz w:val="22"/>
          <w:szCs w:val="22"/>
        </w:rPr>
        <w:t xml:space="preserve">Appendix D: GHS Pictogram Reference Chart</w:t>
      </w:r>
    </w:p>
    <w:p>
      <w:r>
        <w:br w:type="page"/>
      </w:r>
    </w:p>
    <w:p>
      <w:pPr>
        <w:pStyle w:val="Heading1"/>
      </w:pPr>
      <w:r>
        <w:rPr>
          <w:rFonts w:ascii="Calibri" w:cs="Calibri" w:eastAsia="Calibri" w:hAnsi="Calibri"/>
          <w:b/>
          <w:bCs/>
          <w:color w:val="1B2A4A"/>
          <w:sz w:val="32"/>
          <w:szCs w:val="32"/>
        </w:rPr>
        <w:t xml:space="preserve">1.0  Purpose and Scope</w:t>
      </w:r>
    </w:p>
    <w:p>
      <w:pPr>
        <w:spacing w:after="120" w:before="0"/>
        <w:jc w:val="left"/>
      </w:pPr>
      <w:r>
        <w:rPr>
          <w:rFonts w:ascii="Calibri" w:cs="Calibri" w:eastAsia="Calibri" w:hAnsi="Calibri"/>
          <w:b w:val="false"/>
          <w:bCs w:val="false"/>
          <w:i w:val="false"/>
          <w:iCs w:val="false"/>
          <w:color w:val="000000"/>
          <w:sz w:val="22"/>
          <w:szCs w:val="22"/>
        </w:rPr>
        <w:t xml:space="preserve">This Hazard Communication (HazCom) Program has been established to comply with OSHA's Hazard Communication Standard, 29 CFR 1910.1200, as aligned with the Globally Harmonized System of Classification and Labelling of Chemicals (GHS). The purpose of this program is to ensure that the hazards of all chemicals used, stored, or handled at [Company Name] worksites are evaluated, and that information concerning these hazards is transmitted to all affected employees.</w:t>
      </w:r>
    </w:p>
    <w:p>
      <w:pPr>
        <w:spacing w:after="120" w:before="0"/>
        <w:jc w:val="left"/>
      </w:pPr>
      <w:r>
        <w:rPr>
          <w:rFonts w:ascii="Calibri" w:cs="Calibri" w:eastAsia="Calibri" w:hAnsi="Calibri"/>
          <w:b w:val="false"/>
          <w:bCs w:val="false"/>
          <w:i w:val="false"/>
          <w:iCs w:val="false"/>
          <w:color w:val="000000"/>
          <w:sz w:val="22"/>
          <w:szCs w:val="22"/>
        </w:rPr>
        <w:t xml:space="preserve">This program applies to all employees who may be exposed to hazardous chemicals under normal working conditions or during foreseeable emergencies. This includes all work areas, job classifications, and operations where hazardous chemicals are present.</w:t>
      </w:r>
    </w:p>
    <w:p>
      <w:pPr>
        <w:spacing w:after="120" w:before="0"/>
        <w:jc w:val="left"/>
      </w:pPr>
      <w:r>
        <w:rPr>
          <w:rFonts w:ascii="Calibri" w:cs="Calibri" w:eastAsia="Calibri" w:hAnsi="Calibri"/>
          <w:b w:val="false"/>
          <w:bCs w:val="false"/>
          <w:i w:val="false"/>
          <w:iCs w:val="false"/>
          <w:color w:val="000000"/>
          <w:sz w:val="22"/>
          <w:szCs w:val="22"/>
        </w:rPr>
        <w:t xml:space="preserve">This written program is available to all employees and their designated representatives upon request. A copy is maintained at [location / office].</w:t>
      </w:r>
    </w:p>
    <w:p>
      <w:pPr>
        <w:pStyle w:val="Heading1"/>
      </w:pPr>
      <w:r>
        <w:rPr>
          <w:rFonts w:ascii="Calibri" w:cs="Calibri" w:eastAsia="Calibri" w:hAnsi="Calibri"/>
          <w:b/>
          <w:bCs/>
          <w:color w:val="1B2A4A"/>
          <w:sz w:val="32"/>
          <w:szCs w:val="32"/>
        </w:rPr>
        <w:t xml:space="preserve">2.0  Responsibilities</w:t>
      </w:r>
    </w:p>
    <w:p>
      <w:pPr>
        <w:pStyle w:val="Heading2"/>
      </w:pPr>
      <w:r>
        <w:rPr>
          <w:rFonts w:ascii="Calibri" w:cs="Calibri" w:eastAsia="Calibri" w:hAnsi="Calibri"/>
          <w:b/>
          <w:bCs/>
          <w:color w:val="1B2A4A"/>
          <w:sz w:val="26"/>
          <w:szCs w:val="26"/>
        </w:rPr>
        <w:t xml:space="preserve">2.1  Program Administrator</w:t>
      </w:r>
    </w:p>
    <w:p>
      <w:pPr>
        <w:spacing w:after="120" w:before="0"/>
        <w:jc w:val="left"/>
      </w:pPr>
      <w:r>
        <w:rPr>
          <w:rFonts w:ascii="Calibri" w:cs="Calibri" w:eastAsia="Calibri" w:hAnsi="Calibri"/>
          <w:b w:val="false"/>
          <w:bCs w:val="false"/>
          <w:i w:val="false"/>
          <w:iCs w:val="false"/>
          <w:color w:val="000000"/>
          <w:sz w:val="22"/>
          <w:szCs w:val="22"/>
        </w:rPr>
        <w:t xml:space="preserve">The HazCom Program Administrator is: [Name / Title]. This person is responsible for:</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Implementing and maintaining this written program</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Maintaining the chemical inventory and SDS library</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Ensuring proper labeling of all containers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Coordinating employee training</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Communicating hazard information to contractors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Reviewing and updating the program annually</w:t>
      </w:r>
    </w:p>
    <w:p>
      <w:pPr>
        <w:pStyle w:val="Heading2"/>
      </w:pPr>
      <w:r>
        <w:rPr>
          <w:rFonts w:ascii="Calibri" w:cs="Calibri" w:eastAsia="Calibri" w:hAnsi="Calibri"/>
          <w:b/>
          <w:bCs/>
          <w:color w:val="1B2A4A"/>
          <w:sz w:val="26"/>
          <w:szCs w:val="26"/>
        </w:rPr>
        <w:t xml:space="preserve">2.2  Supervisors / Foremen</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Ensure employees receive HazCom training before working with hazardous chemicals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Ensure proper labeling of all workplace containers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Ensure Safety Data Sheets are accessible to all employees on every shift</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Enforce proper use of PPE when handling hazardous chemicals</w:t>
      </w:r>
    </w:p>
    <w:p>
      <w:pPr>
        <w:pStyle w:val="Heading2"/>
      </w:pPr>
      <w:r>
        <w:rPr>
          <w:rFonts w:ascii="Calibri" w:cs="Calibri" w:eastAsia="Calibri" w:hAnsi="Calibri"/>
          <w:b/>
          <w:bCs/>
          <w:color w:val="1B2A4A"/>
          <w:sz w:val="26"/>
          <w:szCs w:val="26"/>
        </w:rPr>
        <w:t xml:space="preserve">2.3  Employees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Attend required HazCom training</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Read and follow SDS information and label warnings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Use required PPE when working with hazardous chemicals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Report unlabeled containers, missing SDSs, or chemical spills to their supervisor immediately</w:t>
      </w:r>
    </w:p>
    <w:p>
      <w:pPr>
        <w:pStyle w:val="Heading1"/>
      </w:pPr>
      <w:r>
        <w:rPr>
          <w:rFonts w:ascii="Calibri" w:cs="Calibri" w:eastAsia="Calibri" w:hAnsi="Calibri"/>
          <w:b/>
          <w:bCs/>
          <w:color w:val="1B2A4A"/>
          <w:sz w:val="32"/>
          <w:szCs w:val="32"/>
        </w:rPr>
        <w:t xml:space="preserve">3.0  Hazard Classification</w:t>
      </w:r>
    </w:p>
    <w:p>
      <w:pPr>
        <w:spacing w:after="120" w:before="0"/>
        <w:jc w:val="left"/>
      </w:pPr>
      <w:r>
        <w:rPr>
          <w:rFonts w:ascii="Calibri" w:cs="Calibri" w:eastAsia="Calibri" w:hAnsi="Calibri"/>
          <w:b w:val="false"/>
          <w:bCs w:val="false"/>
          <w:i w:val="false"/>
          <w:iCs w:val="false"/>
          <w:color w:val="000000"/>
          <w:sz w:val="22"/>
          <w:szCs w:val="22"/>
        </w:rPr>
        <w:t xml:space="preserve">[Company Name] relies on the hazard classification provided by chemical manufacturers and importers on their Safety Data Sheets and product labels. The company will not perform independent hazard classification.</w:t>
      </w:r>
    </w:p>
    <w:p>
      <w:pPr>
        <w:spacing w:after="120" w:before="0"/>
        <w:jc w:val="left"/>
      </w:pPr>
      <w:r>
        <w:rPr>
          <w:rFonts w:ascii="Calibri" w:cs="Calibri" w:eastAsia="Calibri" w:hAnsi="Calibri"/>
          <w:b w:val="false"/>
          <w:bCs w:val="false"/>
          <w:i w:val="false"/>
          <w:iCs w:val="false"/>
          <w:color w:val="000000"/>
          <w:sz w:val="22"/>
          <w:szCs w:val="22"/>
        </w:rPr>
        <w:t xml:space="preserve">Under the GHS-aligned HazCom standard, hazards are classified into two major groups:</w:t>
      </w:r>
    </w:p>
    <w:p>
      <w:pPr>
        <w:spacing w:after="120" w:before="0"/>
        <w:jc w:val="left"/>
      </w:pPr>
      <w:r>
        <w:rPr>
          <w:rFonts w:ascii="Calibri" w:cs="Calibri" w:eastAsia="Calibri" w:hAnsi="Calibri"/>
          <w:b/>
          <w:bCs/>
          <w:i w:val="false"/>
          <w:iCs w:val="false"/>
          <w:color w:val="1B2A4A"/>
          <w:sz w:val="22"/>
          <w:szCs w:val="22"/>
        </w:rPr>
        <w:t xml:space="preserve">Physical Hazards: </w:t>
      </w:r>
      <w:r>
        <w:rPr>
          <w:rFonts w:ascii="Calibri" w:cs="Calibri" w:eastAsia="Calibri" w:hAnsi="Calibri"/>
          <w:b w:val="false"/>
          <w:bCs w:val="false"/>
          <w:i w:val="false"/>
          <w:iCs w:val="false"/>
          <w:color w:val="000000"/>
          <w:sz w:val="22"/>
          <w:szCs w:val="22"/>
        </w:rPr>
        <w:t xml:space="preserve">Flammable gases, flammable liquids, flammable solids, oxidizers, compressed gases, explosives, self-reactive chemicals, pyrophoric materials, organic peroxides, corrosive to metals, and others.</w:t>
      </w:r>
    </w:p>
    <w:p>
      <w:pPr>
        <w:spacing w:after="120" w:before="0"/>
        <w:jc w:val="left"/>
      </w:pPr>
      <w:r>
        <w:rPr>
          <w:rFonts w:ascii="Calibri" w:cs="Calibri" w:eastAsia="Calibri" w:hAnsi="Calibri"/>
          <w:b/>
          <w:bCs/>
          <w:i w:val="false"/>
          <w:iCs w:val="false"/>
          <w:color w:val="1B2A4A"/>
          <w:sz w:val="22"/>
          <w:szCs w:val="22"/>
        </w:rPr>
        <w:t xml:space="preserve">Health Hazards: </w:t>
      </w:r>
      <w:r>
        <w:rPr>
          <w:rFonts w:ascii="Calibri" w:cs="Calibri" w:eastAsia="Calibri" w:hAnsi="Calibri"/>
          <w:b w:val="false"/>
          <w:bCs w:val="false"/>
          <w:i w:val="false"/>
          <w:iCs w:val="false"/>
          <w:color w:val="000000"/>
          <w:sz w:val="22"/>
          <w:szCs w:val="22"/>
        </w:rPr>
        <w:t xml:space="preserve">Acute toxicity, skin corrosion/irritation, serious eye damage/irritation, respiratory or skin sensitization, germ cell mutagenicity, carcinogenicity, reproductive toxicity, specific target organ toxicity (single and repeated exposure), and aspiration hazard.</w:t>
      </w:r>
    </w:p>
    <w:p>
      <w:pPr>
        <w:spacing w:after="120" w:before="0"/>
        <w:jc w:val="left"/>
      </w:pPr>
      <w:r>
        <w:rPr>
          <w:rFonts w:ascii="Calibri" w:cs="Calibri" w:eastAsia="Calibri" w:hAnsi="Calibri"/>
          <w:b w:val="false"/>
          <w:bCs w:val="false"/>
          <w:i w:val="false"/>
          <w:iCs w:val="false"/>
          <w:color w:val="000000"/>
          <w:sz w:val="22"/>
          <w:szCs w:val="22"/>
        </w:rPr>
        <w:t xml:space="preserve">When a new chemical is introduced to the workplace, the SDS must be obtained and reviewed before the chemical is used. The Program Administrator will update the chemical inventory and ensure proper labeling.</w:t>
      </w:r>
    </w:p>
    <w:p>
      <w:pPr>
        <w:pStyle w:val="Heading1"/>
        <w:pageBreakBefore/>
      </w:pPr>
      <w:r>
        <w:rPr>
          <w:rFonts w:ascii="Calibri" w:cs="Calibri" w:eastAsia="Calibri" w:hAnsi="Calibri"/>
          <w:b/>
          <w:bCs/>
          <w:color w:val="1B2A4A"/>
          <w:sz w:val="32"/>
          <w:szCs w:val="32"/>
        </w:rPr>
        <w:t xml:space="preserve">4.0  Safety Data Sheets (SDS)</w:t>
      </w:r>
    </w:p>
    <w:p>
      <w:pPr>
        <w:spacing w:after="120" w:before="0"/>
        <w:jc w:val="left"/>
      </w:pPr>
      <w:r>
        <w:rPr>
          <w:rFonts w:ascii="Calibri" w:cs="Calibri" w:eastAsia="Calibri" w:hAnsi="Calibri"/>
          <w:b w:val="false"/>
          <w:bCs w:val="false"/>
          <w:i w:val="false"/>
          <w:iCs w:val="false"/>
          <w:color w:val="000000"/>
          <w:sz w:val="22"/>
          <w:szCs w:val="22"/>
        </w:rPr>
        <w:t xml:space="preserve">[Company Name] will maintain a complete and current SDS for every hazardous chemical used at the worksite. SDSs will be readily accessible to all employees during each work shift.</w:t>
      </w:r>
    </w:p>
    <w:p>
      <w:pPr>
        <w:pStyle w:val="Heading2"/>
      </w:pPr>
      <w:r>
        <w:rPr>
          <w:rFonts w:ascii="Calibri" w:cs="Calibri" w:eastAsia="Calibri" w:hAnsi="Calibri"/>
          <w:b/>
          <w:bCs/>
          <w:color w:val="1B2A4A"/>
          <w:sz w:val="26"/>
          <w:szCs w:val="26"/>
        </w:rPr>
        <w:t xml:space="preserve">4.1  SDS Management</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SDSs are maintained at: [Location — e.g., safety office, SDS binder in each work area, electronic system]</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New SDSs are obtained before any new chemical is brought to the worksite</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SDSs are reviewed and updated when new or revised versions become available</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If an SDS is not available for a chemical, the Program Administrator will contact the manufacturer/supplier using the SDS Request Letter (Appendix B)</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Electronic SDSs are acceptable provided employees can access them without barriers during each shift</w:t>
      </w:r>
    </w:p>
    <w:p>
      <w:pPr>
        <w:pStyle w:val="Heading2"/>
      </w:pPr>
      <w:r>
        <w:rPr>
          <w:rFonts w:ascii="Calibri" w:cs="Calibri" w:eastAsia="Calibri" w:hAnsi="Calibri"/>
          <w:b/>
          <w:bCs/>
          <w:color w:val="1B2A4A"/>
          <w:sz w:val="26"/>
          <w:szCs w:val="26"/>
        </w:rPr>
        <w:t xml:space="preserve">4.2  The 16-Section SDS Format</w:t>
      </w:r>
    </w:p>
    <w:p>
      <w:pPr>
        <w:spacing w:after="120" w:before="0"/>
        <w:jc w:val="left"/>
      </w:pPr>
      <w:r>
        <w:rPr>
          <w:rFonts w:ascii="Calibri" w:cs="Calibri" w:eastAsia="Calibri" w:hAnsi="Calibri"/>
          <w:b w:val="false"/>
          <w:bCs w:val="false"/>
          <w:i w:val="false"/>
          <w:iCs w:val="false"/>
          <w:color w:val="000000"/>
          <w:sz w:val="22"/>
          <w:szCs w:val="22"/>
        </w:rPr>
        <w:t xml:space="preserve">Under the GHS, all SDSs must follow a standardized 16-section format:</w:t>
      </w:r>
    </w:p>
    <w:p>
      <w:pPr>
        <w:pStyle w:val="ListParagraph"/>
        <w:numPr>
          <w:ilvl w:val="0"/>
          <w:numId w:val="3"/>
        </w:numPr>
        <w:spacing w:after="120" w:before="0"/>
        <w:jc w:val="left"/>
      </w:pPr>
      <w:r>
        <w:rPr>
          <w:rFonts w:ascii="Calibri" w:cs="Calibri" w:eastAsia="Calibri" w:hAnsi="Calibri"/>
          <w:b/>
          <w:bCs/>
          <w:i w:val="false"/>
          <w:iCs w:val="false"/>
          <w:color w:val="000000"/>
          <w:sz w:val="22"/>
          <w:szCs w:val="22"/>
        </w:rPr>
        <w:t xml:space="preserve">Section 1: </w:t>
      </w:r>
      <w:r>
        <w:rPr>
          <w:rFonts w:ascii="Calibri" w:cs="Calibri" w:eastAsia="Calibri" w:hAnsi="Calibri"/>
          <w:b w:val="false"/>
          <w:bCs w:val="false"/>
          <w:i w:val="false"/>
          <w:iCs w:val="false"/>
          <w:color w:val="000000"/>
          <w:sz w:val="22"/>
          <w:szCs w:val="22"/>
        </w:rPr>
        <w:t xml:space="preserve">Identification — Product name, manufacturer, emergency phone</w:t>
      </w:r>
    </w:p>
    <w:p>
      <w:pPr>
        <w:pStyle w:val="ListParagraph"/>
        <w:numPr>
          <w:ilvl w:val="0"/>
          <w:numId w:val="3"/>
        </w:numPr>
        <w:spacing w:after="120" w:before="0"/>
        <w:jc w:val="left"/>
      </w:pPr>
      <w:r>
        <w:rPr>
          <w:rFonts w:ascii="Calibri" w:cs="Calibri" w:eastAsia="Calibri" w:hAnsi="Calibri"/>
          <w:b/>
          <w:bCs/>
          <w:i w:val="false"/>
          <w:iCs w:val="false"/>
          <w:color w:val="000000"/>
          <w:sz w:val="22"/>
          <w:szCs w:val="22"/>
        </w:rPr>
        <w:t xml:space="preserve">Section 2: </w:t>
      </w:r>
      <w:r>
        <w:rPr>
          <w:rFonts w:ascii="Calibri" w:cs="Calibri" w:eastAsia="Calibri" w:hAnsi="Calibri"/>
          <w:b w:val="false"/>
          <w:bCs w:val="false"/>
          <w:i w:val="false"/>
          <w:iCs w:val="false"/>
          <w:color w:val="000000"/>
          <w:sz w:val="22"/>
          <w:szCs w:val="22"/>
        </w:rPr>
        <w:t xml:space="preserve">Hazard(s) Identification — GHS classification, signal word, pictograms, hazard statements</w:t>
      </w:r>
    </w:p>
    <w:p>
      <w:pPr>
        <w:pStyle w:val="ListParagraph"/>
        <w:numPr>
          <w:ilvl w:val="0"/>
          <w:numId w:val="3"/>
        </w:numPr>
        <w:spacing w:after="120" w:before="0"/>
        <w:jc w:val="left"/>
      </w:pPr>
      <w:r>
        <w:rPr>
          <w:rFonts w:ascii="Calibri" w:cs="Calibri" w:eastAsia="Calibri" w:hAnsi="Calibri"/>
          <w:b/>
          <w:bCs/>
          <w:i w:val="false"/>
          <w:iCs w:val="false"/>
          <w:color w:val="000000"/>
          <w:sz w:val="22"/>
          <w:szCs w:val="22"/>
        </w:rPr>
        <w:t xml:space="preserve">Section 3: </w:t>
      </w:r>
      <w:r>
        <w:rPr>
          <w:rFonts w:ascii="Calibri" w:cs="Calibri" w:eastAsia="Calibri" w:hAnsi="Calibri"/>
          <w:b w:val="false"/>
          <w:bCs w:val="false"/>
          <w:i w:val="false"/>
          <w:iCs w:val="false"/>
          <w:color w:val="000000"/>
          <w:sz w:val="22"/>
          <w:szCs w:val="22"/>
        </w:rPr>
        <w:t xml:space="preserve">Composition / Information on Ingredients</w:t>
      </w:r>
    </w:p>
    <w:p>
      <w:pPr>
        <w:pStyle w:val="ListParagraph"/>
        <w:numPr>
          <w:ilvl w:val="0"/>
          <w:numId w:val="3"/>
        </w:numPr>
        <w:spacing w:after="120" w:before="0"/>
        <w:jc w:val="left"/>
      </w:pPr>
      <w:r>
        <w:rPr>
          <w:rFonts w:ascii="Calibri" w:cs="Calibri" w:eastAsia="Calibri" w:hAnsi="Calibri"/>
          <w:b/>
          <w:bCs/>
          <w:i w:val="false"/>
          <w:iCs w:val="false"/>
          <w:color w:val="000000"/>
          <w:sz w:val="22"/>
          <w:szCs w:val="22"/>
        </w:rPr>
        <w:t xml:space="preserve">Section 4: </w:t>
      </w:r>
      <w:r>
        <w:rPr>
          <w:rFonts w:ascii="Calibri" w:cs="Calibri" w:eastAsia="Calibri" w:hAnsi="Calibri"/>
          <w:b w:val="false"/>
          <w:bCs w:val="false"/>
          <w:i w:val="false"/>
          <w:iCs w:val="false"/>
          <w:color w:val="000000"/>
          <w:sz w:val="22"/>
          <w:szCs w:val="22"/>
        </w:rPr>
        <w:t xml:space="preserve">First-Aid Measures</w:t>
      </w:r>
    </w:p>
    <w:p>
      <w:pPr>
        <w:pStyle w:val="ListParagraph"/>
        <w:numPr>
          <w:ilvl w:val="0"/>
          <w:numId w:val="3"/>
        </w:numPr>
        <w:spacing w:after="120" w:before="0"/>
        <w:jc w:val="left"/>
      </w:pPr>
      <w:r>
        <w:rPr>
          <w:rFonts w:ascii="Calibri" w:cs="Calibri" w:eastAsia="Calibri" w:hAnsi="Calibri"/>
          <w:b/>
          <w:bCs/>
          <w:i w:val="false"/>
          <w:iCs w:val="false"/>
          <w:color w:val="000000"/>
          <w:sz w:val="22"/>
          <w:szCs w:val="22"/>
        </w:rPr>
        <w:t xml:space="preserve">Section 5: </w:t>
      </w:r>
      <w:r>
        <w:rPr>
          <w:rFonts w:ascii="Calibri" w:cs="Calibri" w:eastAsia="Calibri" w:hAnsi="Calibri"/>
          <w:b w:val="false"/>
          <w:bCs w:val="false"/>
          <w:i w:val="false"/>
          <w:iCs w:val="false"/>
          <w:color w:val="000000"/>
          <w:sz w:val="22"/>
          <w:szCs w:val="22"/>
        </w:rPr>
        <w:t xml:space="preserve">Fire-Fighting Measures</w:t>
      </w:r>
    </w:p>
    <w:p>
      <w:pPr>
        <w:pStyle w:val="ListParagraph"/>
        <w:numPr>
          <w:ilvl w:val="0"/>
          <w:numId w:val="3"/>
        </w:numPr>
        <w:spacing w:after="120" w:before="0"/>
        <w:jc w:val="left"/>
      </w:pPr>
      <w:r>
        <w:rPr>
          <w:rFonts w:ascii="Calibri" w:cs="Calibri" w:eastAsia="Calibri" w:hAnsi="Calibri"/>
          <w:b/>
          <w:bCs/>
          <w:i w:val="false"/>
          <w:iCs w:val="false"/>
          <w:color w:val="000000"/>
          <w:sz w:val="22"/>
          <w:szCs w:val="22"/>
        </w:rPr>
        <w:t xml:space="preserve">Section 6: </w:t>
      </w:r>
      <w:r>
        <w:rPr>
          <w:rFonts w:ascii="Calibri" w:cs="Calibri" w:eastAsia="Calibri" w:hAnsi="Calibri"/>
          <w:b w:val="false"/>
          <w:bCs w:val="false"/>
          <w:i w:val="false"/>
          <w:iCs w:val="false"/>
          <w:color w:val="000000"/>
          <w:sz w:val="22"/>
          <w:szCs w:val="22"/>
        </w:rPr>
        <w:t xml:space="preserve">Accidental Release Measures</w:t>
      </w:r>
    </w:p>
    <w:p>
      <w:pPr>
        <w:pStyle w:val="ListParagraph"/>
        <w:numPr>
          <w:ilvl w:val="0"/>
          <w:numId w:val="3"/>
        </w:numPr>
        <w:spacing w:after="120" w:before="0"/>
        <w:jc w:val="left"/>
      </w:pPr>
      <w:r>
        <w:rPr>
          <w:rFonts w:ascii="Calibri" w:cs="Calibri" w:eastAsia="Calibri" w:hAnsi="Calibri"/>
          <w:b/>
          <w:bCs/>
          <w:i w:val="false"/>
          <w:iCs w:val="false"/>
          <w:color w:val="000000"/>
          <w:sz w:val="22"/>
          <w:szCs w:val="22"/>
        </w:rPr>
        <w:t xml:space="preserve">Section 7: </w:t>
      </w:r>
      <w:r>
        <w:rPr>
          <w:rFonts w:ascii="Calibri" w:cs="Calibri" w:eastAsia="Calibri" w:hAnsi="Calibri"/>
          <w:b w:val="false"/>
          <w:bCs w:val="false"/>
          <w:i w:val="false"/>
          <w:iCs w:val="false"/>
          <w:color w:val="000000"/>
          <w:sz w:val="22"/>
          <w:szCs w:val="22"/>
        </w:rPr>
        <w:t xml:space="preserve">Handling and Storage</w:t>
      </w:r>
    </w:p>
    <w:p>
      <w:pPr>
        <w:pStyle w:val="ListParagraph"/>
        <w:numPr>
          <w:ilvl w:val="0"/>
          <w:numId w:val="3"/>
        </w:numPr>
        <w:spacing w:after="120" w:before="0"/>
        <w:jc w:val="left"/>
      </w:pPr>
      <w:r>
        <w:rPr>
          <w:rFonts w:ascii="Calibri" w:cs="Calibri" w:eastAsia="Calibri" w:hAnsi="Calibri"/>
          <w:b/>
          <w:bCs/>
          <w:i w:val="false"/>
          <w:iCs w:val="false"/>
          <w:color w:val="000000"/>
          <w:sz w:val="22"/>
          <w:szCs w:val="22"/>
        </w:rPr>
        <w:t xml:space="preserve">Section 8: </w:t>
      </w:r>
      <w:r>
        <w:rPr>
          <w:rFonts w:ascii="Calibri" w:cs="Calibri" w:eastAsia="Calibri" w:hAnsi="Calibri"/>
          <w:b w:val="false"/>
          <w:bCs w:val="false"/>
          <w:i w:val="false"/>
          <w:iCs w:val="false"/>
          <w:color w:val="000000"/>
          <w:sz w:val="22"/>
          <w:szCs w:val="22"/>
        </w:rPr>
        <w:t xml:space="preserve">Exposure Controls / Personal Protection</w:t>
      </w:r>
    </w:p>
    <w:p>
      <w:pPr>
        <w:pStyle w:val="ListParagraph"/>
        <w:numPr>
          <w:ilvl w:val="0"/>
          <w:numId w:val="3"/>
        </w:numPr>
        <w:spacing w:after="120" w:before="0"/>
        <w:jc w:val="left"/>
      </w:pPr>
      <w:r>
        <w:rPr>
          <w:rFonts w:ascii="Calibri" w:cs="Calibri" w:eastAsia="Calibri" w:hAnsi="Calibri"/>
          <w:b/>
          <w:bCs/>
          <w:i w:val="false"/>
          <w:iCs w:val="false"/>
          <w:color w:val="000000"/>
          <w:sz w:val="22"/>
          <w:szCs w:val="22"/>
        </w:rPr>
        <w:t xml:space="preserve">Section 9: </w:t>
      </w:r>
      <w:r>
        <w:rPr>
          <w:rFonts w:ascii="Calibri" w:cs="Calibri" w:eastAsia="Calibri" w:hAnsi="Calibri"/>
          <w:b w:val="false"/>
          <w:bCs w:val="false"/>
          <w:i w:val="false"/>
          <w:iCs w:val="false"/>
          <w:color w:val="000000"/>
          <w:sz w:val="22"/>
          <w:szCs w:val="22"/>
        </w:rPr>
        <w:t xml:space="preserve">Physical and Chemical Properties</w:t>
      </w:r>
    </w:p>
    <w:p>
      <w:pPr>
        <w:pStyle w:val="ListParagraph"/>
        <w:numPr>
          <w:ilvl w:val="0"/>
          <w:numId w:val="3"/>
        </w:numPr>
        <w:spacing w:after="120" w:before="0"/>
        <w:jc w:val="left"/>
      </w:pPr>
      <w:r>
        <w:rPr>
          <w:rFonts w:ascii="Calibri" w:cs="Calibri" w:eastAsia="Calibri" w:hAnsi="Calibri"/>
          <w:b/>
          <w:bCs/>
          <w:i w:val="false"/>
          <w:iCs w:val="false"/>
          <w:color w:val="000000"/>
          <w:sz w:val="22"/>
          <w:szCs w:val="22"/>
        </w:rPr>
        <w:t xml:space="preserve">Section 10: </w:t>
      </w:r>
      <w:r>
        <w:rPr>
          <w:rFonts w:ascii="Calibri" w:cs="Calibri" w:eastAsia="Calibri" w:hAnsi="Calibri"/>
          <w:b w:val="false"/>
          <w:bCs w:val="false"/>
          <w:i w:val="false"/>
          <w:iCs w:val="false"/>
          <w:color w:val="000000"/>
          <w:sz w:val="22"/>
          <w:szCs w:val="22"/>
        </w:rPr>
        <w:t xml:space="preserve">Stability and Reactivity</w:t>
      </w:r>
    </w:p>
    <w:p>
      <w:pPr>
        <w:pStyle w:val="ListParagraph"/>
        <w:numPr>
          <w:ilvl w:val="0"/>
          <w:numId w:val="3"/>
        </w:numPr>
        <w:spacing w:after="120" w:before="0"/>
        <w:jc w:val="left"/>
      </w:pPr>
      <w:r>
        <w:rPr>
          <w:rFonts w:ascii="Calibri" w:cs="Calibri" w:eastAsia="Calibri" w:hAnsi="Calibri"/>
          <w:b/>
          <w:bCs/>
          <w:i w:val="false"/>
          <w:iCs w:val="false"/>
          <w:color w:val="000000"/>
          <w:sz w:val="22"/>
          <w:szCs w:val="22"/>
        </w:rPr>
        <w:t xml:space="preserve">Section 11: </w:t>
      </w:r>
      <w:r>
        <w:rPr>
          <w:rFonts w:ascii="Calibri" w:cs="Calibri" w:eastAsia="Calibri" w:hAnsi="Calibri"/>
          <w:b w:val="false"/>
          <w:bCs w:val="false"/>
          <w:i w:val="false"/>
          <w:iCs w:val="false"/>
          <w:color w:val="000000"/>
          <w:sz w:val="22"/>
          <w:szCs w:val="22"/>
        </w:rPr>
        <w:t xml:space="preserve">Toxicological Information</w:t>
      </w:r>
    </w:p>
    <w:p>
      <w:pPr>
        <w:pStyle w:val="ListParagraph"/>
        <w:numPr>
          <w:ilvl w:val="0"/>
          <w:numId w:val="3"/>
        </w:numPr>
        <w:spacing w:after="120" w:before="0"/>
        <w:jc w:val="left"/>
      </w:pPr>
      <w:r>
        <w:rPr>
          <w:rFonts w:ascii="Calibri" w:cs="Calibri" w:eastAsia="Calibri" w:hAnsi="Calibri"/>
          <w:b/>
          <w:bCs/>
          <w:i w:val="false"/>
          <w:iCs w:val="false"/>
          <w:color w:val="000000"/>
          <w:sz w:val="22"/>
          <w:szCs w:val="22"/>
        </w:rPr>
        <w:t xml:space="preserve">Section 12: </w:t>
      </w:r>
      <w:r>
        <w:rPr>
          <w:rFonts w:ascii="Calibri" w:cs="Calibri" w:eastAsia="Calibri" w:hAnsi="Calibri"/>
          <w:b w:val="false"/>
          <w:bCs w:val="false"/>
          <w:i w:val="false"/>
          <w:iCs w:val="false"/>
          <w:color w:val="000000"/>
          <w:sz w:val="22"/>
          <w:szCs w:val="22"/>
        </w:rPr>
        <w:t xml:space="preserve">Ecological Information</w:t>
      </w:r>
    </w:p>
    <w:p>
      <w:pPr>
        <w:pStyle w:val="ListParagraph"/>
        <w:numPr>
          <w:ilvl w:val="0"/>
          <w:numId w:val="3"/>
        </w:numPr>
        <w:spacing w:after="120" w:before="0"/>
        <w:jc w:val="left"/>
      </w:pPr>
      <w:r>
        <w:rPr>
          <w:rFonts w:ascii="Calibri" w:cs="Calibri" w:eastAsia="Calibri" w:hAnsi="Calibri"/>
          <w:b/>
          <w:bCs/>
          <w:i w:val="false"/>
          <w:iCs w:val="false"/>
          <w:color w:val="000000"/>
          <w:sz w:val="22"/>
          <w:szCs w:val="22"/>
        </w:rPr>
        <w:t xml:space="preserve">Section 13: </w:t>
      </w:r>
      <w:r>
        <w:rPr>
          <w:rFonts w:ascii="Calibri" w:cs="Calibri" w:eastAsia="Calibri" w:hAnsi="Calibri"/>
          <w:b w:val="false"/>
          <w:bCs w:val="false"/>
          <w:i w:val="false"/>
          <w:iCs w:val="false"/>
          <w:color w:val="000000"/>
          <w:sz w:val="22"/>
          <w:szCs w:val="22"/>
        </w:rPr>
        <w:t xml:space="preserve">Disposal Considerations</w:t>
      </w:r>
    </w:p>
    <w:p>
      <w:pPr>
        <w:pStyle w:val="ListParagraph"/>
        <w:numPr>
          <w:ilvl w:val="0"/>
          <w:numId w:val="3"/>
        </w:numPr>
        <w:spacing w:after="120" w:before="0"/>
        <w:jc w:val="left"/>
      </w:pPr>
      <w:r>
        <w:rPr>
          <w:rFonts w:ascii="Calibri" w:cs="Calibri" w:eastAsia="Calibri" w:hAnsi="Calibri"/>
          <w:b/>
          <w:bCs/>
          <w:i w:val="false"/>
          <w:iCs w:val="false"/>
          <w:color w:val="000000"/>
          <w:sz w:val="22"/>
          <w:szCs w:val="22"/>
        </w:rPr>
        <w:t xml:space="preserve">Section 14: </w:t>
      </w:r>
      <w:r>
        <w:rPr>
          <w:rFonts w:ascii="Calibri" w:cs="Calibri" w:eastAsia="Calibri" w:hAnsi="Calibri"/>
          <w:b w:val="false"/>
          <w:bCs w:val="false"/>
          <w:i w:val="false"/>
          <w:iCs w:val="false"/>
          <w:color w:val="000000"/>
          <w:sz w:val="22"/>
          <w:szCs w:val="22"/>
        </w:rPr>
        <w:t xml:space="preserve">Transport Information</w:t>
      </w:r>
    </w:p>
    <w:p>
      <w:pPr>
        <w:pStyle w:val="ListParagraph"/>
        <w:numPr>
          <w:ilvl w:val="0"/>
          <w:numId w:val="3"/>
        </w:numPr>
        <w:spacing w:after="120" w:before="0"/>
        <w:jc w:val="left"/>
      </w:pPr>
      <w:r>
        <w:rPr>
          <w:rFonts w:ascii="Calibri" w:cs="Calibri" w:eastAsia="Calibri" w:hAnsi="Calibri"/>
          <w:b/>
          <w:bCs/>
          <w:i w:val="false"/>
          <w:iCs w:val="false"/>
          <w:color w:val="000000"/>
          <w:sz w:val="22"/>
          <w:szCs w:val="22"/>
        </w:rPr>
        <w:t xml:space="preserve">Section 15: </w:t>
      </w:r>
      <w:r>
        <w:rPr>
          <w:rFonts w:ascii="Calibri" w:cs="Calibri" w:eastAsia="Calibri" w:hAnsi="Calibri"/>
          <w:b w:val="false"/>
          <w:bCs w:val="false"/>
          <w:i w:val="false"/>
          <w:iCs w:val="false"/>
          <w:color w:val="000000"/>
          <w:sz w:val="22"/>
          <w:szCs w:val="22"/>
        </w:rPr>
        <w:t xml:space="preserve">Regulatory Information</w:t>
      </w:r>
    </w:p>
    <w:p>
      <w:pPr>
        <w:pStyle w:val="ListParagraph"/>
        <w:numPr>
          <w:ilvl w:val="0"/>
          <w:numId w:val="3"/>
        </w:numPr>
        <w:spacing w:after="120" w:before="0"/>
        <w:jc w:val="left"/>
      </w:pPr>
      <w:r>
        <w:rPr>
          <w:rFonts w:ascii="Calibri" w:cs="Calibri" w:eastAsia="Calibri" w:hAnsi="Calibri"/>
          <w:b/>
          <w:bCs/>
          <w:i w:val="false"/>
          <w:iCs w:val="false"/>
          <w:color w:val="000000"/>
          <w:sz w:val="22"/>
          <w:szCs w:val="22"/>
        </w:rPr>
        <w:t xml:space="preserve">Section 16: </w:t>
      </w:r>
      <w:r>
        <w:rPr>
          <w:rFonts w:ascii="Calibri" w:cs="Calibri" w:eastAsia="Calibri" w:hAnsi="Calibri"/>
          <w:b w:val="false"/>
          <w:bCs w:val="false"/>
          <w:i w:val="false"/>
          <w:iCs w:val="false"/>
          <w:color w:val="000000"/>
          <w:sz w:val="22"/>
          <w:szCs w:val="22"/>
        </w:rPr>
        <w:t xml:space="preserve">Other Information</w:t>
      </w:r>
    </w:p>
    <w:p>
      <w:pPr>
        <w:pStyle w:val="Heading1"/>
      </w:pPr>
      <w:r>
        <w:rPr>
          <w:rFonts w:ascii="Calibri" w:cs="Calibri" w:eastAsia="Calibri" w:hAnsi="Calibri"/>
          <w:b/>
          <w:bCs/>
          <w:color w:val="1B2A4A"/>
          <w:sz w:val="32"/>
          <w:szCs w:val="32"/>
        </w:rPr>
        <w:t xml:space="preserve">5.0  Labeling Requirements</w:t>
      </w:r>
    </w:p>
    <w:p>
      <w:pPr>
        <w:pStyle w:val="Heading2"/>
      </w:pPr>
      <w:r>
        <w:rPr>
          <w:rFonts w:ascii="Calibri" w:cs="Calibri" w:eastAsia="Calibri" w:hAnsi="Calibri"/>
          <w:b/>
          <w:bCs/>
          <w:color w:val="1B2A4A"/>
          <w:sz w:val="26"/>
          <w:szCs w:val="26"/>
        </w:rPr>
        <w:t xml:space="preserve">5.1  Manufacturer Labels</w:t>
      </w:r>
    </w:p>
    <w:p>
      <w:pPr>
        <w:spacing w:after="120" w:before="0"/>
        <w:jc w:val="left"/>
      </w:pPr>
      <w:r>
        <w:rPr>
          <w:rFonts w:ascii="Calibri" w:cs="Calibri" w:eastAsia="Calibri" w:hAnsi="Calibri"/>
          <w:b w:val="false"/>
          <w:bCs w:val="false"/>
          <w:i w:val="false"/>
          <w:iCs w:val="false"/>
          <w:color w:val="000000"/>
          <w:sz w:val="22"/>
          <w:szCs w:val="22"/>
        </w:rPr>
        <w:t xml:space="preserve">All containers of hazardous chemicals received at the worksite must have a GHS-compliant label that includes: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Product identifier (chemical name)</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Signal word ("Danger" or "Warning")</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Hazard statement(s) describing the nature of the hazard</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Precautionary statement(s) describing recommended measures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GHS pictogram(s) — red-bordered diamond symbols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Manufacturer/supplier name, address, and phone number</w:t>
      </w:r>
    </w:p>
    <w:p>
      <w:pPr>
        <w:pStyle w:val="Heading2"/>
      </w:pPr>
      <w:r>
        <w:rPr>
          <w:rFonts w:ascii="Calibri" w:cs="Calibri" w:eastAsia="Calibri" w:hAnsi="Calibri"/>
          <w:b/>
          <w:bCs/>
          <w:color w:val="1B2A4A"/>
          <w:sz w:val="26"/>
          <w:szCs w:val="26"/>
        </w:rPr>
        <w:t xml:space="preserve">5.2  Workplace (Secondary) Container Labels</w:t>
      </w:r>
    </w:p>
    <w:p>
      <w:pPr>
        <w:spacing w:after="120" w:before="0"/>
        <w:jc w:val="left"/>
      </w:pPr>
      <w:r>
        <w:rPr>
          <w:rFonts w:ascii="Calibri" w:cs="Calibri" w:eastAsia="Calibri" w:hAnsi="Calibri"/>
          <w:b w:val="false"/>
          <w:bCs w:val="false"/>
          <w:i w:val="false"/>
          <w:iCs w:val="false"/>
          <w:color w:val="000000"/>
          <w:sz w:val="22"/>
          <w:szCs w:val="22"/>
        </w:rPr>
        <w:t xml:space="preserve">When chemicals are transferred to secondary containers, the container must be labeled with at minimum:</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Product identifier (matching the SDS)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Words, pictures, symbols, or a combination providing general information about the hazards</w:t>
      </w:r>
    </w:p>
    <w:p>
      <w:pPr>
        <w:spacing w:after="120" w:before="0"/>
        <w:jc w:val="left"/>
      </w:pPr>
      <w:r>
        <w:rPr>
          <w:rFonts w:ascii="Calibri" w:cs="Calibri" w:eastAsia="Calibri" w:hAnsi="Calibri"/>
          <w:b w:val="false"/>
          <w:bCs w:val="false"/>
          <w:i w:val="false"/>
          <w:iCs w:val="false"/>
          <w:color w:val="000000"/>
          <w:sz w:val="22"/>
          <w:szCs w:val="22"/>
        </w:rPr>
        <w:t xml:space="preserve">Exception: Portable containers for immediate use by the employee who performs the transfer do not require labeling, provided the chemical is under that employee's control during the entire shift.</w:t>
      </w:r>
    </w:p>
    <w:p>
      <w:pPr>
        <w:pStyle w:val="Heading2"/>
      </w:pPr>
      <w:r>
        <w:rPr>
          <w:rFonts w:ascii="Calibri" w:cs="Calibri" w:eastAsia="Calibri" w:hAnsi="Calibri"/>
          <w:b/>
          <w:bCs/>
          <w:color w:val="1B2A4A"/>
          <w:sz w:val="26"/>
          <w:szCs w:val="26"/>
        </w:rPr>
        <w:t xml:space="preserve">5.3  Label Maintenance</w:t>
      </w:r>
    </w:p>
    <w:p>
      <w:pPr>
        <w:spacing w:after="120" w:before="0"/>
        <w:jc w:val="left"/>
      </w:pPr>
      <w:r>
        <w:rPr>
          <w:rFonts w:ascii="Calibri" w:cs="Calibri" w:eastAsia="Calibri" w:hAnsi="Calibri"/>
          <w:b w:val="false"/>
          <w:bCs w:val="false"/>
          <w:i w:val="false"/>
          <w:iCs w:val="false"/>
          <w:color w:val="000000"/>
          <w:sz w:val="22"/>
          <w:szCs w:val="22"/>
        </w:rPr>
        <w:t xml:space="preserve">Labels must not be defaced or removed. If a label becomes unreadable, the supervisor must ensure the container is relabeled immediately. Unlabeled containers must be removed from service until properly labeled.</w:t>
      </w:r>
    </w:p>
    <w:p>
      <w:pPr>
        <w:pStyle w:val="Heading1"/>
      </w:pPr>
      <w:r>
        <w:rPr>
          <w:rFonts w:ascii="Calibri" w:cs="Calibri" w:eastAsia="Calibri" w:hAnsi="Calibri"/>
          <w:b/>
          <w:bCs/>
          <w:color w:val="1B2A4A"/>
          <w:sz w:val="32"/>
          <w:szCs w:val="32"/>
        </w:rPr>
        <w:t xml:space="preserve">6.0  Chemical Inventory</w:t>
      </w:r>
    </w:p>
    <w:p>
      <w:pPr>
        <w:spacing w:after="120" w:before="0"/>
        <w:jc w:val="left"/>
      </w:pPr>
      <w:r>
        <w:rPr>
          <w:rFonts w:ascii="Calibri" w:cs="Calibri" w:eastAsia="Calibri" w:hAnsi="Calibri"/>
          <w:b w:val="false"/>
          <w:bCs w:val="false"/>
          <w:i w:val="false"/>
          <w:iCs w:val="false"/>
          <w:color w:val="000000"/>
          <w:sz w:val="22"/>
          <w:szCs w:val="22"/>
        </w:rPr>
        <w:t xml:space="preserve">A master chemical inventory is maintained by the Program Administrator and updated whenever a new chemical is introduced or an existing chemical is removed from use. The inventory includes: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Chemical / product name (matching the SDS)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Manufacturer / supplier name</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Work area where the chemical is used or stored</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Hazard classification (physical and health)</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SDS on file (Yes / No)</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Date added to inventory</w:t>
      </w:r>
    </w:p>
    <w:p>
      <w:pPr>
        <w:spacing w:after="120" w:before="0"/>
        <w:jc w:val="left"/>
      </w:pPr>
      <w:r>
        <w:rPr>
          <w:rFonts w:ascii="Calibri" w:cs="Calibri" w:eastAsia="Calibri" w:hAnsi="Calibri"/>
          <w:b w:val="false"/>
          <w:bCs w:val="false"/>
          <w:i w:val="false"/>
          <w:iCs w:val="false"/>
          <w:color w:val="000000"/>
          <w:sz w:val="22"/>
          <w:szCs w:val="22"/>
        </w:rPr>
        <w:t xml:space="preserve">The Chemical Inventory Template is included in Appendix A.</w:t>
      </w:r>
    </w:p>
    <w:p>
      <w:pPr>
        <w:pStyle w:val="Heading1"/>
        <w:pageBreakBefore/>
      </w:pPr>
      <w:r>
        <w:rPr>
          <w:rFonts w:ascii="Calibri" w:cs="Calibri" w:eastAsia="Calibri" w:hAnsi="Calibri"/>
          <w:b/>
          <w:bCs/>
          <w:color w:val="1B2A4A"/>
          <w:sz w:val="32"/>
          <w:szCs w:val="32"/>
        </w:rPr>
        <w:t xml:space="preserve">7.0  Employee Training</w:t>
      </w:r>
    </w:p>
    <w:p>
      <w:pPr>
        <w:spacing w:after="120" w:before="0"/>
        <w:jc w:val="left"/>
      </w:pPr>
      <w:r>
        <w:rPr>
          <w:rFonts w:ascii="Calibri" w:cs="Calibri" w:eastAsia="Calibri" w:hAnsi="Calibri"/>
          <w:b w:val="false"/>
          <w:bCs w:val="false"/>
          <w:i w:val="false"/>
          <w:iCs w:val="false"/>
          <w:color w:val="000000"/>
          <w:sz w:val="22"/>
          <w:szCs w:val="22"/>
        </w:rPr>
        <w:t xml:space="preserve">All employees who may be exposed to hazardous chemicals must receive HazCom training. Training is provided:</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At the time of initial assignment to a work area with hazardous chemicals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When a new chemical hazard is introduced to the work area</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Annually as a refresher</w:t>
      </w:r>
    </w:p>
    <w:p>
      <w:pPr>
        <w:pStyle w:val="Heading2"/>
      </w:pPr>
      <w:r>
        <w:rPr>
          <w:rFonts w:ascii="Calibri" w:cs="Calibri" w:eastAsia="Calibri" w:hAnsi="Calibri"/>
          <w:b/>
          <w:bCs/>
          <w:color w:val="1B2A4A"/>
          <w:sz w:val="26"/>
          <w:szCs w:val="26"/>
        </w:rPr>
        <w:t xml:space="preserve">7.1  Training Content</w:t>
      </w:r>
    </w:p>
    <w:p>
      <w:pPr>
        <w:spacing w:after="120" w:before="0"/>
        <w:jc w:val="left"/>
      </w:pPr>
      <w:r>
        <w:rPr>
          <w:rFonts w:ascii="Calibri" w:cs="Calibri" w:eastAsia="Calibri" w:hAnsi="Calibri"/>
          <w:b w:val="false"/>
          <w:bCs w:val="false"/>
          <w:i w:val="false"/>
          <w:iCs w:val="false"/>
          <w:color w:val="000000"/>
          <w:sz w:val="22"/>
          <w:szCs w:val="22"/>
        </w:rPr>
        <w:t xml:space="preserve">Training must cover the following topics: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An overview of the requirements of 29 CFR 1910.1200 and this written program</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Location and availability of the written HazCom Program and chemical inventory</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How to read and interpret GHS labels, including pictograms, signal words, hazard statements, and precautionary statements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How to access, read, and use Safety Data Sheets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Physical and health hazards of the chemicals in the work area</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Protective measures (PPE, engineering controls, work practices) to reduce exposure</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Emergency procedures for chemical spills, leaks, or exposures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Procedures for non-routine tasks involving hazardous chemicals</w:t>
      </w:r>
    </w:p>
    <w:p>
      <w:pPr>
        <w:spacing w:after="120" w:before="0"/>
        <w:jc w:val="left"/>
      </w:pPr>
      <w:r>
        <w:rPr>
          <w:rFonts w:ascii="Calibri" w:cs="Calibri" w:eastAsia="Calibri" w:hAnsi="Calibri"/>
          <w:b w:val="false"/>
          <w:bCs w:val="false"/>
          <w:i w:val="false"/>
          <w:iCs w:val="false"/>
          <w:color w:val="000000"/>
          <w:sz w:val="22"/>
          <w:szCs w:val="22"/>
        </w:rPr>
        <w:t xml:space="preserve">The Training Sign-Off Sheet (Appendix C) must be completed for all training sessions.</w:t>
      </w:r>
    </w:p>
    <w:p>
      <w:pPr>
        <w:pStyle w:val="Heading1"/>
      </w:pPr>
      <w:r>
        <w:rPr>
          <w:rFonts w:ascii="Calibri" w:cs="Calibri" w:eastAsia="Calibri" w:hAnsi="Calibri"/>
          <w:b/>
          <w:bCs/>
          <w:color w:val="1B2A4A"/>
          <w:sz w:val="32"/>
          <w:szCs w:val="32"/>
        </w:rPr>
        <w:t xml:space="preserve">8.0  Non-Routine Tasks</w:t>
      </w:r>
    </w:p>
    <w:p>
      <w:pPr>
        <w:spacing w:after="120" w:before="0"/>
        <w:jc w:val="left"/>
      </w:pPr>
      <w:r>
        <w:rPr>
          <w:rFonts w:ascii="Calibri" w:cs="Calibri" w:eastAsia="Calibri" w:hAnsi="Calibri"/>
          <w:b w:val="false"/>
          <w:bCs w:val="false"/>
          <w:i w:val="false"/>
          <w:iCs w:val="false"/>
          <w:color w:val="000000"/>
          <w:sz w:val="22"/>
          <w:szCs w:val="22"/>
        </w:rPr>
        <w:t xml:space="preserve">Before employees perform non-routine tasks that involve potential exposure to hazardous chemicals (e.g., cleaning tanks, entering confined spaces, emergency repairs), the supervisor must:</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Identify the hazardous chemicals that may be involved</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Review the applicable SDS(s) with the affected employees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Ensure appropriate PPE and safety measures are in place</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Brief employees on the specific hazards and emergency procedures for the task</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Conduct atmospheric monitoring if required by the task or hazard</w:t>
      </w:r>
    </w:p>
    <w:p>
      <w:pPr>
        <w:pStyle w:val="Heading1"/>
      </w:pPr>
      <w:r>
        <w:rPr>
          <w:rFonts w:ascii="Calibri" w:cs="Calibri" w:eastAsia="Calibri" w:hAnsi="Calibri"/>
          <w:b/>
          <w:bCs/>
          <w:color w:val="1B2A4A"/>
          <w:sz w:val="32"/>
          <w:szCs w:val="32"/>
        </w:rPr>
        <w:t xml:space="preserve">9.0  Contractor Notification</w:t>
      </w:r>
    </w:p>
    <w:p>
      <w:pPr>
        <w:spacing w:after="120" w:before="0"/>
        <w:jc w:val="left"/>
      </w:pPr>
      <w:r>
        <w:rPr>
          <w:rFonts w:ascii="Calibri" w:cs="Calibri" w:eastAsia="Calibri" w:hAnsi="Calibri"/>
          <w:b w:val="false"/>
          <w:bCs w:val="false"/>
          <w:i w:val="false"/>
          <w:iCs w:val="false"/>
          <w:color w:val="000000"/>
          <w:sz w:val="22"/>
          <w:szCs w:val="22"/>
        </w:rPr>
        <w:t xml:space="preserve">When contractors work at [Company Name] facilities or jobsites, the following information must be provided:</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The identity of hazardous chemicals to which they may be exposed while on site</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The location and availability of SDSs for those chemicals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Precautionary measures the contractor's employees should take to protect themselves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The location of this written HazCom Program and the chemical inventory</w:t>
      </w:r>
    </w:p>
    <w:p>
      <w:pPr>
        <w:spacing w:after="120" w:before="0"/>
        <w:jc w:val="left"/>
      </w:pPr>
      <w:r>
        <w:rPr>
          <w:rFonts w:ascii="Calibri" w:cs="Calibri" w:eastAsia="Calibri" w:hAnsi="Calibri"/>
          <w:b w:val="false"/>
          <w:bCs w:val="false"/>
          <w:i w:val="false"/>
          <w:iCs w:val="false"/>
          <w:color w:val="000000"/>
          <w:sz w:val="22"/>
          <w:szCs w:val="22"/>
        </w:rPr>
        <w:t xml:space="preserve">Contractors must also provide [Company Name] with SDSs for any hazardous chemicals they bring onto the worksite. Contractors are responsible for training their own employees on the hazards of their chemicals.</w:t>
      </w:r>
    </w:p>
    <w:p>
      <w:pPr>
        <w:pStyle w:val="Heading1"/>
      </w:pPr>
      <w:r>
        <w:rPr>
          <w:rFonts w:ascii="Calibri" w:cs="Calibri" w:eastAsia="Calibri" w:hAnsi="Calibri"/>
          <w:b/>
          <w:bCs/>
          <w:color w:val="1B2A4A"/>
          <w:sz w:val="32"/>
          <w:szCs w:val="32"/>
        </w:rPr>
        <w:t xml:space="preserve">10.0  Multi-Employer Worksites</w:t>
      </w:r>
    </w:p>
    <w:p>
      <w:pPr>
        <w:spacing w:after="120" w:before="0"/>
        <w:jc w:val="left"/>
      </w:pPr>
      <w:r>
        <w:rPr>
          <w:rFonts w:ascii="Calibri" w:cs="Calibri" w:eastAsia="Calibri" w:hAnsi="Calibri"/>
          <w:b w:val="false"/>
          <w:bCs w:val="false"/>
          <w:i w:val="false"/>
          <w:iCs w:val="false"/>
          <w:color w:val="000000"/>
          <w:sz w:val="22"/>
          <w:szCs w:val="22"/>
        </w:rPr>
        <w:t xml:space="preserve">On multi-employer worksites (including construction projects), the host employer or general contractor will:</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Inform all employers of the location and availability of SDSs at the worksite</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Implement a system to communicate chemical hazards introduced by any employer</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Ensure that chemical inventory information is shared and accessible to all employers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Coordinate labeling systems so all workers can understand the hazard information</w:t>
      </w:r>
    </w:p>
    <w:p>
      <w:pPr>
        <w:spacing w:after="120" w:before="0"/>
        <w:jc w:val="left"/>
      </w:pPr>
      <w:r>
        <w:rPr>
          <w:rFonts w:ascii="Calibri" w:cs="Calibri" w:eastAsia="Calibri" w:hAnsi="Calibri"/>
          <w:b w:val="false"/>
          <w:bCs w:val="false"/>
          <w:i w:val="false"/>
          <w:iCs w:val="false"/>
          <w:color w:val="000000"/>
          <w:sz w:val="22"/>
          <w:szCs w:val="22"/>
        </w:rPr>
        <w:t xml:space="preserve">Each employer on the multi-employer worksite remains responsible for training their own employees and maintaining their own HazCom program.</w:t>
      </w:r>
    </w:p>
    <w:p>
      <w:pPr>
        <w:pStyle w:val="Heading1"/>
      </w:pPr>
      <w:r>
        <w:rPr>
          <w:rFonts w:ascii="Calibri" w:cs="Calibri" w:eastAsia="Calibri" w:hAnsi="Calibri"/>
          <w:b/>
          <w:bCs/>
          <w:color w:val="1B2A4A"/>
          <w:sz w:val="32"/>
          <w:szCs w:val="32"/>
        </w:rPr>
        <w:t xml:space="preserve">11.0  Recordkeeping</w:t>
      </w:r>
    </w:p>
    <w:p>
      <w:pPr>
        <w:spacing w:after="120" w:before="0"/>
        <w:jc w:val="left"/>
      </w:pPr>
      <w:r>
        <w:rPr>
          <w:rFonts w:ascii="Calibri" w:cs="Calibri" w:eastAsia="Calibri" w:hAnsi="Calibri"/>
          <w:b w:val="false"/>
          <w:bCs w:val="false"/>
          <w:i w:val="false"/>
          <w:iCs w:val="false"/>
          <w:color w:val="000000"/>
          <w:sz w:val="22"/>
          <w:szCs w:val="22"/>
        </w:rPr>
        <w:t xml:space="preserve">The following records must be maintained and made available upon request:</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This written Hazard Communication Program</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Chemical Inventory (updated as chemicals change)</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Safety Data Sheets for all hazardous chemicals (current and historical)</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Employee training records (including dates, topics, attendees, and trainer)</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SDS request letters sent to manufacturers/suppliers</w:t>
      </w:r>
    </w:p>
    <w:p>
      <w:pPr>
        <w:spacing w:after="120" w:before="0"/>
        <w:jc w:val="left"/>
      </w:pPr>
      <w:r>
        <w:rPr>
          <w:rFonts w:ascii="Calibri" w:cs="Calibri" w:eastAsia="Calibri" w:hAnsi="Calibri"/>
          <w:b w:val="false"/>
          <w:bCs w:val="false"/>
          <w:i w:val="false"/>
          <w:iCs w:val="false"/>
          <w:color w:val="000000"/>
          <w:sz w:val="22"/>
          <w:szCs w:val="22"/>
        </w:rPr>
        <w:t xml:space="preserve">Training records must be maintained for the duration of employment plus 3 years.</w:t>
      </w:r>
    </w:p>
    <w:p>
      <w:pPr>
        <w:pStyle w:val="Heading1"/>
        <w:pageBreakBefore/>
      </w:pPr>
      <w:r>
        <w:rPr>
          <w:rFonts w:ascii="Calibri" w:cs="Calibri" w:eastAsia="Calibri" w:hAnsi="Calibri"/>
          <w:b/>
          <w:bCs/>
          <w:color w:val="1B2A4A"/>
          <w:sz w:val="32"/>
          <w:szCs w:val="32"/>
        </w:rPr>
        <w:t xml:space="preserve">Appendix A: Chemical Inventory Template</w:t>
      </w:r>
    </w:p>
    <w:p>
      <w:pPr>
        <w:spacing w:after="200" w:before="0"/>
        <w:jc w:val="left"/>
      </w:pPr>
      <w:r>
        <w:rPr>
          <w:rFonts w:ascii="Calibri" w:cs="Calibri" w:eastAsia="Calibri" w:hAnsi="Calibri"/>
          <w:b w:val="false"/>
          <w:bCs w:val="false"/>
          <w:i w:val="false"/>
          <w:iCs w:val="false"/>
          <w:color w:val="000000"/>
          <w:sz w:val="22"/>
          <w:szCs w:val="22"/>
        </w:rPr>
        <w:t xml:space="preserve">Use this template to track all hazardous chemicals present at the worksite. Update whenever chemicals are added or removed.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560"/>
        <w:gridCol w:w="1560"/>
        <w:gridCol w:w="1560"/>
        <w:gridCol w:w="1560"/>
        <w:gridCol w:w="1560"/>
      </w:tblGrid>
      <w:tr>
        <w:tc>
          <w:tcPr>
            <w:tcW w:type="dxa" w:w="1560"/>
            <w:tcBorders>
              <w:top w:val="single" w:color="B0B0B0" w:sz="1"/>
              <w:left w:val="single" w:color="B0B0B0" w:sz="1"/>
              <w:bottom w:val="single" w:color="B0B0B0" w:sz="1"/>
              <w:right w:val="single" w:color="B0B0B0" w:sz="1"/>
            </w:tcBorders>
            <w:shd w:fill="1B2A4A" w:val="clear"/>
            <w:tcMar>
              <w:top w:type="dxa" w:w="40"/>
              <w:left w:type="dxa" w:w="60"/>
              <w:bottom w:type="dxa" w:w="40"/>
              <w:right w:type="dxa" w:w="60"/>
            </w:tcMar>
            <w:vAlign w:val="center"/>
          </w:tcPr>
          <w:p>
            <w:pPr>
              <w:spacing w:after="0" w:before="0"/>
              <w:jc w:val="center"/>
            </w:pPr>
            <w:r>
              <w:rPr>
                <w:rFonts w:ascii="Calibri" w:cs="Calibri" w:eastAsia="Calibri" w:hAnsi="Calibri"/>
                <w:b/>
                <w:bCs/>
                <w:color w:val="FFFFFF"/>
                <w:sz w:val="20"/>
                <w:szCs w:val="20"/>
              </w:rPr>
              <w:t xml:space="preserve">Product Name</w:t>
            </w:r>
          </w:p>
        </w:tc>
        <w:tc>
          <w:tcPr>
            <w:tcW w:type="dxa" w:w="1560"/>
            <w:tcBorders>
              <w:top w:val="single" w:color="B0B0B0" w:sz="1"/>
              <w:left w:val="single" w:color="B0B0B0" w:sz="1"/>
              <w:bottom w:val="single" w:color="B0B0B0" w:sz="1"/>
              <w:right w:val="single" w:color="B0B0B0" w:sz="1"/>
            </w:tcBorders>
            <w:shd w:fill="1B2A4A" w:val="clear"/>
            <w:tcMar>
              <w:top w:type="dxa" w:w="40"/>
              <w:left w:type="dxa" w:w="60"/>
              <w:bottom w:type="dxa" w:w="40"/>
              <w:right w:type="dxa" w:w="60"/>
            </w:tcMar>
            <w:vAlign w:val="center"/>
          </w:tcPr>
          <w:p>
            <w:pPr>
              <w:spacing w:after="0" w:before="0"/>
              <w:jc w:val="center"/>
            </w:pPr>
            <w:r>
              <w:rPr>
                <w:rFonts w:ascii="Calibri" w:cs="Calibri" w:eastAsia="Calibri" w:hAnsi="Calibri"/>
                <w:b/>
                <w:bCs/>
                <w:color w:val="FFFFFF"/>
                <w:sz w:val="20"/>
                <w:szCs w:val="20"/>
              </w:rPr>
              <w:t xml:space="preserve">Manufacturer</w:t>
            </w:r>
          </w:p>
        </w:tc>
        <w:tc>
          <w:tcPr>
            <w:tcW w:type="dxa" w:w="1560"/>
            <w:tcBorders>
              <w:top w:val="single" w:color="B0B0B0" w:sz="1"/>
              <w:left w:val="single" w:color="B0B0B0" w:sz="1"/>
              <w:bottom w:val="single" w:color="B0B0B0" w:sz="1"/>
              <w:right w:val="single" w:color="B0B0B0" w:sz="1"/>
            </w:tcBorders>
            <w:shd w:fill="1B2A4A" w:val="clear"/>
            <w:tcMar>
              <w:top w:type="dxa" w:w="40"/>
              <w:left w:type="dxa" w:w="60"/>
              <w:bottom w:type="dxa" w:w="40"/>
              <w:right w:type="dxa" w:w="60"/>
            </w:tcMar>
            <w:vAlign w:val="center"/>
          </w:tcPr>
          <w:p>
            <w:pPr>
              <w:spacing w:after="0" w:before="0"/>
              <w:jc w:val="center"/>
            </w:pPr>
            <w:r>
              <w:rPr>
                <w:rFonts w:ascii="Calibri" w:cs="Calibri" w:eastAsia="Calibri" w:hAnsi="Calibri"/>
                <w:b/>
                <w:bCs/>
                <w:color w:val="FFFFFF"/>
                <w:sz w:val="20"/>
                <w:szCs w:val="20"/>
              </w:rPr>
              <w:t xml:space="preserve">Work Area / Location</w:t>
            </w:r>
          </w:p>
        </w:tc>
        <w:tc>
          <w:tcPr>
            <w:tcW w:type="dxa" w:w="1560"/>
            <w:tcBorders>
              <w:top w:val="single" w:color="B0B0B0" w:sz="1"/>
              <w:left w:val="single" w:color="B0B0B0" w:sz="1"/>
              <w:bottom w:val="single" w:color="B0B0B0" w:sz="1"/>
              <w:right w:val="single" w:color="B0B0B0" w:sz="1"/>
            </w:tcBorders>
            <w:shd w:fill="1B2A4A" w:val="clear"/>
            <w:tcMar>
              <w:top w:type="dxa" w:w="40"/>
              <w:left w:type="dxa" w:w="60"/>
              <w:bottom w:type="dxa" w:w="40"/>
              <w:right w:type="dxa" w:w="60"/>
            </w:tcMar>
            <w:vAlign w:val="center"/>
          </w:tcPr>
          <w:p>
            <w:pPr>
              <w:spacing w:after="0" w:before="0"/>
              <w:jc w:val="center"/>
            </w:pPr>
            <w:r>
              <w:rPr>
                <w:rFonts w:ascii="Calibri" w:cs="Calibri" w:eastAsia="Calibri" w:hAnsi="Calibri"/>
                <w:b/>
                <w:bCs/>
                <w:color w:val="FFFFFF"/>
                <w:sz w:val="20"/>
                <w:szCs w:val="20"/>
              </w:rPr>
              <w:t xml:space="preserve">Hazard Class</w:t>
            </w:r>
          </w:p>
        </w:tc>
        <w:tc>
          <w:tcPr>
            <w:tcW w:type="dxa" w:w="1560"/>
            <w:tcBorders>
              <w:top w:val="single" w:color="B0B0B0" w:sz="1"/>
              <w:left w:val="single" w:color="B0B0B0" w:sz="1"/>
              <w:bottom w:val="single" w:color="B0B0B0" w:sz="1"/>
              <w:right w:val="single" w:color="B0B0B0" w:sz="1"/>
            </w:tcBorders>
            <w:shd w:fill="1B2A4A" w:val="clear"/>
            <w:tcMar>
              <w:top w:type="dxa" w:w="40"/>
              <w:left w:type="dxa" w:w="60"/>
              <w:bottom w:type="dxa" w:w="40"/>
              <w:right w:type="dxa" w:w="60"/>
            </w:tcMar>
            <w:vAlign w:val="center"/>
          </w:tcPr>
          <w:p>
            <w:pPr>
              <w:spacing w:after="0" w:before="0"/>
              <w:jc w:val="center"/>
            </w:pPr>
            <w:r>
              <w:rPr>
                <w:rFonts w:ascii="Calibri" w:cs="Calibri" w:eastAsia="Calibri" w:hAnsi="Calibri"/>
                <w:b/>
                <w:bCs/>
                <w:color w:val="FFFFFF"/>
                <w:sz w:val="20"/>
                <w:szCs w:val="20"/>
              </w:rPr>
              <w:t xml:space="preserve">SDS on File?</w:t>
            </w:r>
          </w:p>
        </w:tc>
        <w:tc>
          <w:tcPr>
            <w:tcW w:type="dxa" w:w="1560"/>
            <w:tcBorders>
              <w:top w:val="single" w:color="B0B0B0" w:sz="1"/>
              <w:left w:val="single" w:color="B0B0B0" w:sz="1"/>
              <w:bottom w:val="single" w:color="B0B0B0" w:sz="1"/>
              <w:right w:val="single" w:color="B0B0B0" w:sz="1"/>
            </w:tcBorders>
            <w:shd w:fill="1B2A4A" w:val="clear"/>
            <w:tcMar>
              <w:top w:type="dxa" w:w="40"/>
              <w:left w:type="dxa" w:w="60"/>
              <w:bottom w:type="dxa" w:w="40"/>
              <w:right w:type="dxa" w:w="60"/>
            </w:tcMar>
            <w:vAlign w:val="center"/>
          </w:tcPr>
          <w:p>
            <w:pPr>
              <w:spacing w:after="0" w:before="0"/>
              <w:jc w:val="center"/>
            </w:pPr>
            <w:r>
              <w:rPr>
                <w:rFonts w:ascii="Calibri" w:cs="Calibri" w:eastAsia="Calibri" w:hAnsi="Calibri"/>
                <w:b/>
                <w:bCs/>
                <w:color w:val="FFFFFF"/>
                <w:sz w:val="20"/>
                <w:szCs w:val="20"/>
              </w:rPr>
              <w:t xml:space="preserve">Date Added</w:t>
            </w:r>
          </w:p>
        </w:tc>
      </w:tr>
      <w:tr>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5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bl>
    <w:p>
      <w:pPr>
        <w:pStyle w:val="Heading1"/>
        <w:pageBreakBefore/>
      </w:pPr>
      <w:r>
        <w:rPr>
          <w:rFonts w:ascii="Calibri" w:cs="Calibri" w:eastAsia="Calibri" w:hAnsi="Calibri"/>
          <w:b/>
          <w:bCs/>
          <w:color w:val="1B2A4A"/>
          <w:sz w:val="32"/>
          <w:szCs w:val="32"/>
        </w:rPr>
        <w:t xml:space="preserve">Appendix B: SDS Request Letter Template</w:t>
      </w:r>
    </w:p>
    <w:p>
      <w:pPr>
        <w:spacing w:after="200" w:before="200"/>
        <w:jc w:val="left"/>
      </w:pPr>
      <w:r>
        <w:rPr>
          <w:rFonts w:ascii="Calibri" w:cs="Calibri" w:eastAsia="Calibri" w:hAnsi="Calibri"/>
          <w:b w:val="false"/>
          <w:bCs w:val="false"/>
          <w:i w:val="false"/>
          <w:iCs w:val="false"/>
          <w:color w:val="000000"/>
          <w:sz w:val="22"/>
          <w:szCs w:val="22"/>
        </w:rPr>
        <w:t xml:space="preserve">[Date]</w:t>
      </w:r>
    </w:p>
    <w:p>
      <w:pPr>
        <w:spacing w:after="120" w:before="0"/>
        <w:jc w:val="left"/>
      </w:pPr>
      <w:r>
        <w:rPr>
          <w:rFonts w:ascii="Calibri" w:cs="Calibri" w:eastAsia="Calibri" w:hAnsi="Calibri"/>
          <w:b w:val="false"/>
          <w:bCs w:val="false"/>
          <w:i w:val="false"/>
          <w:iCs w:val="false"/>
          <w:color w:val="000000"/>
          <w:sz w:val="22"/>
          <w:szCs w:val="22"/>
        </w:rPr>
        <w:t xml:space="preserve">[Manufacturer/Supplier Name]</w:t>
      </w:r>
    </w:p>
    <w:p>
      <w:pPr>
        <w:spacing w:after="120" w:before="0"/>
        <w:jc w:val="left"/>
      </w:pPr>
      <w:r>
        <w:rPr>
          <w:rFonts w:ascii="Calibri" w:cs="Calibri" w:eastAsia="Calibri" w:hAnsi="Calibri"/>
          <w:b w:val="false"/>
          <w:bCs w:val="false"/>
          <w:i w:val="false"/>
          <w:iCs w:val="false"/>
          <w:color w:val="000000"/>
          <w:sz w:val="22"/>
          <w:szCs w:val="22"/>
        </w:rPr>
        <w:t xml:space="preserve">[Address]</w:t>
      </w:r>
    </w:p>
    <w:p>
      <w:pPr>
        <w:spacing w:after="200" w:before="0"/>
        <w:jc w:val="left"/>
      </w:pPr>
      <w:r>
        <w:rPr>
          <w:rFonts w:ascii="Calibri" w:cs="Calibri" w:eastAsia="Calibri" w:hAnsi="Calibri"/>
          <w:b w:val="false"/>
          <w:bCs w:val="false"/>
          <w:i w:val="false"/>
          <w:iCs w:val="false"/>
          <w:color w:val="000000"/>
          <w:sz w:val="22"/>
          <w:szCs w:val="22"/>
        </w:rPr>
        <w:t xml:space="preserve">[City, State, ZIP]</w:t>
      </w:r>
    </w:p>
    <w:p>
      <w:pPr>
        <w:spacing w:after="200" w:before="0"/>
        <w:jc w:val="left"/>
      </w:pPr>
      <w:r>
        <w:rPr>
          <w:rFonts w:ascii="Calibri" w:cs="Calibri" w:eastAsia="Calibri" w:hAnsi="Calibri"/>
          <w:b/>
          <w:bCs/>
          <w:i w:val="false"/>
          <w:iCs w:val="false"/>
          <w:color w:val="000000"/>
          <w:sz w:val="22"/>
          <w:szCs w:val="22"/>
        </w:rPr>
        <w:t xml:space="preserve">Re: Request for Safety Data Sheet(s)</w:t>
      </w:r>
    </w:p>
    <w:p>
      <w:pPr>
        <w:spacing w:after="120" w:before="0"/>
        <w:jc w:val="left"/>
      </w:pPr>
      <w:r>
        <w:rPr>
          <w:rFonts w:ascii="Calibri" w:cs="Calibri" w:eastAsia="Calibri" w:hAnsi="Calibri"/>
          <w:b w:val="false"/>
          <w:bCs w:val="false"/>
          <w:i w:val="false"/>
          <w:iCs w:val="false"/>
          <w:color w:val="000000"/>
          <w:sz w:val="22"/>
          <w:szCs w:val="22"/>
        </w:rPr>
        <w:t xml:space="preserve">Dear Sir or Madam:</w:t>
      </w:r>
    </w:p>
    <w:p>
      <w:pPr>
        <w:spacing w:after="120" w:before="0"/>
        <w:jc w:val="left"/>
      </w:pPr>
      <w:r>
        <w:rPr>
          <w:rFonts w:ascii="Calibri" w:cs="Calibri" w:eastAsia="Calibri" w:hAnsi="Calibri"/>
          <w:b w:val="false"/>
          <w:bCs w:val="false"/>
          <w:i w:val="false"/>
          <w:iCs w:val="false"/>
          <w:color w:val="000000"/>
          <w:sz w:val="22"/>
          <w:szCs w:val="22"/>
        </w:rPr>
        <w:t xml:space="preserve">Under the OSHA Hazard Communication Standard (29 CFR 1910.1200), employers are required to maintain Safety Data Sheets (SDSs) for all hazardous chemicals present in the workplace. We have been unable to locate the SDS for the following product(s) in our files:</w:t>
      </w:r>
    </w:p>
    <w:p>
      <w:pPr>
        <w:spacing w:after="200" w:before="200"/>
        <w:jc w:val="left"/>
      </w:pPr>
      <w:r>
        <w:rPr>
          <w:rFonts w:ascii="Calibri" w:cs="Calibri" w:eastAsia="Calibri" w:hAnsi="Calibri"/>
          <w:b/>
          <w:bCs/>
          <w:i w:val="false"/>
          <w:iCs w:val="false"/>
          <w:color w:val="000000"/>
          <w:sz w:val="22"/>
          <w:szCs w:val="22"/>
        </w:rPr>
        <w:t xml:space="preserve">[Product Name / Product #]</w:t>
      </w:r>
    </w:p>
    <w:p>
      <w:pPr>
        <w:spacing w:after="120" w:before="0"/>
        <w:jc w:val="left"/>
      </w:pPr>
      <w:r>
        <w:rPr>
          <w:rFonts w:ascii="Calibri" w:cs="Calibri" w:eastAsia="Calibri" w:hAnsi="Calibri"/>
          <w:b w:val="false"/>
          <w:bCs w:val="false"/>
          <w:i w:val="false"/>
          <w:iCs w:val="false"/>
          <w:color w:val="000000"/>
          <w:sz w:val="22"/>
          <w:szCs w:val="22"/>
        </w:rPr>
        <w:t xml:space="preserve">Please forward the current SDS for the above product(s) to:</w:t>
      </w:r>
    </w:p>
    <w:p>
      <w:pPr>
        <w:spacing w:after="120" w:before="0"/>
        <w:jc w:val="left"/>
      </w:pPr>
      <w:r>
        <w:rPr>
          <w:rFonts w:ascii="Calibri" w:cs="Calibri" w:eastAsia="Calibri" w:hAnsi="Calibri"/>
          <w:b w:val="false"/>
          <w:bCs w:val="false"/>
          <w:i w:val="false"/>
          <w:iCs w:val="false"/>
          <w:color w:val="000000"/>
          <w:sz w:val="22"/>
          <w:szCs w:val="22"/>
        </w:rPr>
        <w:t xml:space="preserve">[Company Name]</w:t>
      </w:r>
    </w:p>
    <w:p>
      <w:pPr>
        <w:spacing w:after="120" w:before="0"/>
        <w:jc w:val="left"/>
      </w:pPr>
      <w:r>
        <w:rPr>
          <w:rFonts w:ascii="Calibri" w:cs="Calibri" w:eastAsia="Calibri" w:hAnsi="Calibri"/>
          <w:b w:val="false"/>
          <w:bCs w:val="false"/>
          <w:i w:val="false"/>
          <w:iCs w:val="false"/>
          <w:color w:val="000000"/>
          <w:sz w:val="22"/>
          <w:szCs w:val="22"/>
        </w:rPr>
        <w:t xml:space="preserve">[Attention: Program Administrator Name]</w:t>
      </w:r>
    </w:p>
    <w:p>
      <w:pPr>
        <w:spacing w:after="120" w:before="0"/>
        <w:jc w:val="left"/>
      </w:pPr>
      <w:r>
        <w:rPr>
          <w:rFonts w:ascii="Calibri" w:cs="Calibri" w:eastAsia="Calibri" w:hAnsi="Calibri"/>
          <w:b w:val="false"/>
          <w:bCs w:val="false"/>
          <w:i w:val="false"/>
          <w:iCs w:val="false"/>
          <w:color w:val="000000"/>
          <w:sz w:val="22"/>
          <w:szCs w:val="22"/>
        </w:rPr>
        <w:t xml:space="preserve">[Address]</w:t>
      </w:r>
    </w:p>
    <w:p>
      <w:pPr>
        <w:spacing w:after="120" w:before="0"/>
        <w:jc w:val="left"/>
      </w:pPr>
      <w:r>
        <w:rPr>
          <w:rFonts w:ascii="Calibri" w:cs="Calibri" w:eastAsia="Calibri" w:hAnsi="Calibri"/>
          <w:b w:val="false"/>
          <w:bCs w:val="false"/>
          <w:i w:val="false"/>
          <w:iCs w:val="false"/>
          <w:color w:val="000000"/>
          <w:sz w:val="22"/>
          <w:szCs w:val="22"/>
        </w:rPr>
        <w:t xml:space="preserve">[City, State, ZIP]</w:t>
      </w:r>
    </w:p>
    <w:p>
      <w:pPr>
        <w:spacing w:after="200" w:before="0"/>
        <w:jc w:val="left"/>
      </w:pPr>
      <w:r>
        <w:rPr>
          <w:rFonts w:ascii="Calibri" w:cs="Calibri" w:eastAsia="Calibri" w:hAnsi="Calibri"/>
          <w:b w:val="false"/>
          <w:bCs w:val="false"/>
          <w:i w:val="false"/>
          <w:iCs w:val="false"/>
          <w:color w:val="000000"/>
          <w:sz w:val="22"/>
          <w:szCs w:val="22"/>
        </w:rPr>
        <w:t xml:space="preserve">[Email Address]</w:t>
      </w:r>
    </w:p>
    <w:p>
      <w:pPr>
        <w:spacing w:after="120" w:before="0"/>
        <w:jc w:val="left"/>
      </w:pPr>
      <w:r>
        <w:rPr>
          <w:rFonts w:ascii="Calibri" w:cs="Calibri" w:eastAsia="Calibri" w:hAnsi="Calibri"/>
          <w:b w:val="false"/>
          <w:bCs w:val="false"/>
          <w:i w:val="false"/>
          <w:iCs w:val="false"/>
          <w:color w:val="000000"/>
          <w:sz w:val="22"/>
          <w:szCs w:val="22"/>
        </w:rPr>
        <w:t xml:space="preserve">If you have any questions, please contact us at [Phone Number]. We appreciate your prompt attention to this matter.</w:t>
      </w:r>
    </w:p>
    <w:p>
      <w:pPr>
        <w:spacing w:after="120" w:before="400"/>
        <w:jc w:val="left"/>
      </w:pPr>
      <w:r>
        <w:rPr>
          <w:rFonts w:ascii="Calibri" w:cs="Calibri" w:eastAsia="Calibri" w:hAnsi="Calibri"/>
          <w:b w:val="false"/>
          <w:bCs w:val="false"/>
          <w:i w:val="false"/>
          <w:iCs w:val="false"/>
          <w:color w:val="000000"/>
          <w:sz w:val="22"/>
          <w:szCs w:val="22"/>
        </w:rPr>
        <w:t xml:space="preserve">Sincerely,</w:t>
      </w:r>
    </w:p>
    <w:p>
      <w:pPr>
        <w:spacing w:after="120" w:before="0"/>
        <w:jc w:val="left"/>
      </w:pPr>
      <w:r>
        <w:rPr>
          <w:rFonts w:ascii="Calibri" w:cs="Calibri" w:eastAsia="Calibri" w:hAnsi="Calibri"/>
          <w:b w:val="false"/>
          <w:bCs w:val="false"/>
          <w:i w:val="false"/>
          <w:iCs w:val="false"/>
          <w:color w:val="000000"/>
          <w:sz w:val="22"/>
          <w:szCs w:val="22"/>
        </w:rPr>
        <w:t xml:space="preserve">_________________________________</w:t>
      </w:r>
    </w:p>
    <w:p>
      <w:pPr>
        <w:spacing w:after="120" w:before="0"/>
        <w:jc w:val="left"/>
      </w:pPr>
      <w:r>
        <w:rPr>
          <w:rFonts w:ascii="Calibri" w:cs="Calibri" w:eastAsia="Calibri" w:hAnsi="Calibri"/>
          <w:b w:val="false"/>
          <w:bCs w:val="false"/>
          <w:i w:val="false"/>
          <w:iCs w:val="false"/>
          <w:color w:val="000000"/>
          <w:sz w:val="22"/>
          <w:szCs w:val="22"/>
        </w:rPr>
        <w:t xml:space="preserve">[Name, Title]</w:t>
      </w:r>
    </w:p>
    <w:p>
      <w:pPr>
        <w:spacing w:after="120" w:before="0"/>
        <w:jc w:val="left"/>
      </w:pPr>
      <w:r>
        <w:rPr>
          <w:rFonts w:ascii="Calibri" w:cs="Calibri" w:eastAsia="Calibri" w:hAnsi="Calibri"/>
          <w:b w:val="false"/>
          <w:bCs w:val="false"/>
          <w:i w:val="false"/>
          <w:iCs w:val="false"/>
          <w:color w:val="000000"/>
          <w:sz w:val="22"/>
          <w:szCs w:val="22"/>
        </w:rPr>
        <w:t xml:space="preserve">[Company Name]</w:t>
      </w:r>
    </w:p>
    <w:p>
      <w:pPr>
        <w:pStyle w:val="Heading1"/>
        <w:pageBreakBefore/>
      </w:pPr>
      <w:r>
        <w:rPr>
          <w:rFonts w:ascii="Calibri" w:cs="Calibri" w:eastAsia="Calibri" w:hAnsi="Calibri"/>
          <w:b/>
          <w:bCs/>
          <w:color w:val="1B2A4A"/>
          <w:sz w:val="32"/>
          <w:szCs w:val="32"/>
        </w:rPr>
        <w:t xml:space="preserve">Appendix C: Training Sign-Off Sheet</w:t>
      </w:r>
    </w:p>
    <w:p>
      <w:pPr>
        <w:spacing w:after="200" w:before="0"/>
        <w:jc w:val="left"/>
      </w:pPr>
      <w:r>
        <w:rPr>
          <w:rFonts w:ascii="Calibri" w:cs="Calibri" w:eastAsia="Calibri" w:hAnsi="Calibri"/>
          <w:b/>
          <w:bCs/>
          <w:i w:val="false"/>
          <w:iCs w:val="false"/>
          <w:color w:val="1B2A4A"/>
          <w:sz w:val="26"/>
          <w:szCs w:val="26"/>
        </w:rPr>
        <w:t xml:space="preserve">Hazard Communication (HazCom) Training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7020"/>
      </w:tblGrid>
      <w:tr>
        <w:tc>
          <w:tcPr>
            <w:tcW w:type="dxa" w:w="2340"/>
            <w:tcBorders>
              <w:top w:val="single" w:color="B0B0B0" w:sz="1"/>
              <w:left w:val="single" w:color="B0B0B0" w:sz="1"/>
              <w:bottom w:val="single" w:color="B0B0B0" w:sz="1"/>
              <w:right w:val="single" w:color="B0B0B0" w:sz="1"/>
            </w:tcBorders>
            <w:shd w:fill="D6DCE4" w:val="clear"/>
            <w:tcMar>
              <w:top w:type="dxa" w:w="40"/>
              <w:left w:type="dxa" w:w="80"/>
              <w:bottom w:type="dxa" w:w="40"/>
              <w:right w:type="dxa" w:w="80"/>
            </w:tcMar>
            <w:vAlign w:val="center"/>
          </w:tcPr>
          <w:p>
            <w:pPr>
              <w:spacing w:after="0" w:before="0"/>
            </w:pPr>
            <w:r>
              <w:rPr>
                <w:rFonts w:ascii="Calibri" w:cs="Calibri" w:eastAsia="Calibri" w:hAnsi="Calibri"/>
                <w:b/>
                <w:bCs/>
                <w:color w:val="1B2A4A"/>
                <w:sz w:val="20"/>
                <w:szCs w:val="20"/>
              </w:rPr>
              <w:t xml:space="preserve">Training Date:</w:t>
            </w:r>
          </w:p>
        </w:tc>
        <w:tc>
          <w:tcPr>
            <w:tcW w:type="dxa" w:w="702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0" w:before="0"/>
            </w:pPr>
            <w:r>
              <w:rPr>
                <w:rFonts w:ascii="Calibri" w:cs="Calibri" w:eastAsia="Calibri" w:hAnsi="Calibri"/>
                <w:sz w:val="20"/>
                <w:szCs w:val="20"/>
              </w:rPr>
              <w:t xml:space="preserve"/>
            </w:r>
          </w:p>
        </w:tc>
      </w:tr>
      <w:tr>
        <w:tc>
          <w:tcPr>
            <w:tcW w:type="dxa" w:w="2340"/>
            <w:tcBorders>
              <w:top w:val="single" w:color="B0B0B0" w:sz="1"/>
              <w:left w:val="single" w:color="B0B0B0" w:sz="1"/>
              <w:bottom w:val="single" w:color="B0B0B0" w:sz="1"/>
              <w:right w:val="single" w:color="B0B0B0" w:sz="1"/>
            </w:tcBorders>
            <w:shd w:fill="D6DCE4" w:val="clear"/>
            <w:tcMar>
              <w:top w:type="dxa" w:w="40"/>
              <w:left w:type="dxa" w:w="80"/>
              <w:bottom w:type="dxa" w:w="40"/>
              <w:right w:type="dxa" w:w="80"/>
            </w:tcMar>
            <w:vAlign w:val="center"/>
          </w:tcPr>
          <w:p>
            <w:pPr>
              <w:spacing w:after="0" w:before="0"/>
            </w:pPr>
            <w:r>
              <w:rPr>
                <w:rFonts w:ascii="Calibri" w:cs="Calibri" w:eastAsia="Calibri" w:hAnsi="Calibri"/>
                <w:b/>
                <w:bCs/>
                <w:color w:val="1B2A4A"/>
                <w:sz w:val="20"/>
                <w:szCs w:val="20"/>
              </w:rPr>
              <w:t xml:space="preserve">Trainer Name:</w:t>
            </w:r>
          </w:p>
        </w:tc>
        <w:tc>
          <w:tcPr>
            <w:tcW w:type="dxa" w:w="702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0" w:before="0"/>
            </w:pPr>
            <w:r>
              <w:rPr>
                <w:rFonts w:ascii="Calibri" w:cs="Calibri" w:eastAsia="Calibri" w:hAnsi="Calibri"/>
                <w:sz w:val="20"/>
                <w:szCs w:val="20"/>
              </w:rPr>
              <w:t xml:space="preserve"/>
            </w:r>
          </w:p>
        </w:tc>
      </w:tr>
      <w:tr>
        <w:tc>
          <w:tcPr>
            <w:tcW w:type="dxa" w:w="2340"/>
            <w:tcBorders>
              <w:top w:val="single" w:color="B0B0B0" w:sz="1"/>
              <w:left w:val="single" w:color="B0B0B0" w:sz="1"/>
              <w:bottom w:val="single" w:color="B0B0B0" w:sz="1"/>
              <w:right w:val="single" w:color="B0B0B0" w:sz="1"/>
            </w:tcBorders>
            <w:shd w:fill="D6DCE4" w:val="clear"/>
            <w:tcMar>
              <w:top w:type="dxa" w:w="40"/>
              <w:left w:type="dxa" w:w="80"/>
              <w:bottom w:type="dxa" w:w="40"/>
              <w:right w:type="dxa" w:w="80"/>
            </w:tcMar>
            <w:vAlign w:val="center"/>
          </w:tcPr>
          <w:p>
            <w:pPr>
              <w:spacing w:after="0" w:before="0"/>
            </w:pPr>
            <w:r>
              <w:rPr>
                <w:rFonts w:ascii="Calibri" w:cs="Calibri" w:eastAsia="Calibri" w:hAnsi="Calibri"/>
                <w:b/>
                <w:bCs/>
                <w:color w:val="1B2A4A"/>
                <w:sz w:val="20"/>
                <w:szCs w:val="20"/>
              </w:rPr>
              <w:t xml:space="preserve">Location / Project:</w:t>
            </w:r>
          </w:p>
        </w:tc>
        <w:tc>
          <w:tcPr>
            <w:tcW w:type="dxa" w:w="702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0" w:before="0"/>
            </w:pPr>
            <w:r>
              <w:rPr>
                <w:rFonts w:ascii="Calibri" w:cs="Calibri" w:eastAsia="Calibri" w:hAnsi="Calibri"/>
                <w:sz w:val="20"/>
                <w:szCs w:val="20"/>
              </w:rPr>
              <w:t xml:space="preserve"/>
            </w:r>
          </w:p>
        </w:tc>
      </w:tr>
      <w:tr>
        <w:tc>
          <w:tcPr>
            <w:tcW w:type="dxa" w:w="2340"/>
            <w:tcBorders>
              <w:top w:val="single" w:color="B0B0B0" w:sz="1"/>
              <w:left w:val="single" w:color="B0B0B0" w:sz="1"/>
              <w:bottom w:val="single" w:color="B0B0B0" w:sz="1"/>
              <w:right w:val="single" w:color="B0B0B0" w:sz="1"/>
            </w:tcBorders>
            <w:shd w:fill="D6DCE4" w:val="clear"/>
            <w:tcMar>
              <w:top w:type="dxa" w:w="40"/>
              <w:left w:type="dxa" w:w="80"/>
              <w:bottom w:type="dxa" w:w="40"/>
              <w:right w:type="dxa" w:w="80"/>
            </w:tcMar>
            <w:vAlign w:val="center"/>
          </w:tcPr>
          <w:p>
            <w:pPr>
              <w:spacing w:after="0" w:before="0"/>
            </w:pPr>
            <w:r>
              <w:rPr>
                <w:rFonts w:ascii="Calibri" w:cs="Calibri" w:eastAsia="Calibri" w:hAnsi="Calibri"/>
                <w:b/>
                <w:bCs/>
                <w:color w:val="1B2A4A"/>
                <w:sz w:val="20"/>
                <w:szCs w:val="20"/>
              </w:rPr>
              <w:t xml:space="preserve">Topics Covered:</w:t>
            </w:r>
          </w:p>
        </w:tc>
        <w:tc>
          <w:tcPr>
            <w:tcW w:type="dxa" w:w="702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0" w:before="0"/>
            </w:pPr>
            <w:r>
              <w:rPr>
                <w:rFonts w:ascii="Calibri" w:cs="Calibri" w:eastAsia="Calibri" w:hAnsi="Calibri"/>
                <w:sz w:val="20"/>
                <w:szCs w:val="20"/>
              </w:rPr>
              <w:t xml:space="preserve">☐ Written HazCom Program  ☐ Chemical Inventory  ☐ SDS Access &amp; Use  ☐ GHS Labels  ☐ PPE Requirements  ☐ Spill Response  ☐ Non-Routine Tasks</w:t>
            </w:r>
          </w:p>
        </w:tc>
      </w:tr>
    </w:tbl>
    <w:p>
      <w:pPr>
        <w:spacing w:after="200" w:before="200"/>
        <w:jc w:val="left"/>
      </w:pPr>
      <w:r>
        <w:rPr>
          <w:rFonts w:ascii="Calibri" w:cs="Calibri" w:eastAsia="Calibri" w:hAnsi="Calibri"/>
          <w:b w:val="false"/>
          <w:bCs w:val="false"/>
          <w:i w:val="false"/>
          <w:iCs w:val="false"/>
          <w:color w:val="000000"/>
          <w:sz w:val="22"/>
          <w:szCs w:val="22"/>
        </w:rPr>
        <w:t xml:space="preserve">By signing below, I acknowledge that I have received training on the company's Hazard Communication Program, including how to read labels, access Safety Data Sheets, and protect myself from chemical hazards.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700"/>
        <w:gridCol w:w="2200"/>
        <w:gridCol w:w="1800"/>
        <w:gridCol w:w="2060"/>
      </w:tblGrid>
      <w:tr>
        <w:tc>
          <w:tcPr>
            <w:tcW w:type="dxa" w:w="600"/>
            <w:tcBorders>
              <w:top w:val="single" w:color="B0B0B0" w:sz="1"/>
              <w:left w:val="single" w:color="B0B0B0" w:sz="1"/>
              <w:bottom w:val="single" w:color="B0B0B0" w:sz="1"/>
              <w:right w:val="single" w:color="B0B0B0" w:sz="1"/>
            </w:tcBorders>
            <w:shd w:fill="1B2A4A" w:val="clear"/>
            <w:tcMar>
              <w:top w:type="dxa" w:w="40"/>
              <w:left w:type="dxa" w:w="60"/>
              <w:bottom w:type="dxa" w:w="40"/>
              <w:right w:type="dxa" w:w="60"/>
            </w:tcMar>
            <w:vAlign w:val="center"/>
          </w:tcPr>
          <w:p>
            <w:pPr>
              <w:spacing w:after="0" w:before="0"/>
              <w:jc w:val="center"/>
            </w:pPr>
            <w:r>
              <w:rPr>
                <w:rFonts w:ascii="Calibri" w:cs="Calibri" w:eastAsia="Calibri" w:hAnsi="Calibri"/>
                <w:b/>
                <w:bCs/>
                <w:color w:val="FFFFFF"/>
                <w:sz w:val="20"/>
                <w:szCs w:val="20"/>
              </w:rPr>
              <w:t xml:space="preserve">#</w:t>
            </w:r>
          </w:p>
        </w:tc>
        <w:tc>
          <w:tcPr>
            <w:tcW w:type="dxa" w:w="2700"/>
            <w:tcBorders>
              <w:top w:val="single" w:color="B0B0B0" w:sz="1"/>
              <w:left w:val="single" w:color="B0B0B0" w:sz="1"/>
              <w:bottom w:val="single" w:color="B0B0B0" w:sz="1"/>
              <w:right w:val="single" w:color="B0B0B0" w:sz="1"/>
            </w:tcBorders>
            <w:shd w:fill="1B2A4A" w:val="clear"/>
            <w:tcMar>
              <w:top w:type="dxa" w:w="40"/>
              <w:left w:type="dxa" w:w="60"/>
              <w:bottom w:type="dxa" w:w="40"/>
              <w:right w:type="dxa" w:w="60"/>
            </w:tcMar>
            <w:vAlign w:val="center"/>
          </w:tcPr>
          <w:p>
            <w:pPr>
              <w:spacing w:after="0" w:before="0"/>
              <w:jc w:val="center"/>
            </w:pPr>
            <w:r>
              <w:rPr>
                <w:rFonts w:ascii="Calibri" w:cs="Calibri" w:eastAsia="Calibri" w:hAnsi="Calibri"/>
                <w:b/>
                <w:bCs/>
                <w:color w:val="FFFFFF"/>
                <w:sz w:val="20"/>
                <w:szCs w:val="20"/>
              </w:rPr>
              <w:t xml:space="preserve">Print Name</w:t>
            </w:r>
          </w:p>
        </w:tc>
        <w:tc>
          <w:tcPr>
            <w:tcW w:type="dxa" w:w="2200"/>
            <w:tcBorders>
              <w:top w:val="single" w:color="B0B0B0" w:sz="1"/>
              <w:left w:val="single" w:color="B0B0B0" w:sz="1"/>
              <w:bottom w:val="single" w:color="B0B0B0" w:sz="1"/>
              <w:right w:val="single" w:color="B0B0B0" w:sz="1"/>
            </w:tcBorders>
            <w:shd w:fill="1B2A4A" w:val="clear"/>
            <w:tcMar>
              <w:top w:type="dxa" w:w="40"/>
              <w:left w:type="dxa" w:w="60"/>
              <w:bottom w:type="dxa" w:w="40"/>
              <w:right w:type="dxa" w:w="60"/>
            </w:tcMar>
            <w:vAlign w:val="center"/>
          </w:tcPr>
          <w:p>
            <w:pPr>
              <w:spacing w:after="0" w:before="0"/>
              <w:jc w:val="center"/>
            </w:pPr>
            <w:r>
              <w:rPr>
                <w:rFonts w:ascii="Calibri" w:cs="Calibri" w:eastAsia="Calibri" w:hAnsi="Calibri"/>
                <w:b/>
                <w:bCs/>
                <w:color w:val="FFFFFF"/>
                <w:sz w:val="20"/>
                <w:szCs w:val="20"/>
              </w:rPr>
              <w:t xml:space="preserve">Company / Employer</w:t>
            </w:r>
          </w:p>
        </w:tc>
        <w:tc>
          <w:tcPr>
            <w:tcW w:type="dxa" w:w="1800"/>
            <w:tcBorders>
              <w:top w:val="single" w:color="B0B0B0" w:sz="1"/>
              <w:left w:val="single" w:color="B0B0B0" w:sz="1"/>
              <w:bottom w:val="single" w:color="B0B0B0" w:sz="1"/>
              <w:right w:val="single" w:color="B0B0B0" w:sz="1"/>
            </w:tcBorders>
            <w:shd w:fill="1B2A4A" w:val="clear"/>
            <w:tcMar>
              <w:top w:type="dxa" w:w="40"/>
              <w:left w:type="dxa" w:w="60"/>
              <w:bottom w:type="dxa" w:w="40"/>
              <w:right w:type="dxa" w:w="60"/>
            </w:tcMar>
            <w:vAlign w:val="center"/>
          </w:tcPr>
          <w:p>
            <w:pPr>
              <w:spacing w:after="0" w:before="0"/>
              <w:jc w:val="center"/>
            </w:pPr>
            <w:r>
              <w:rPr>
                <w:rFonts w:ascii="Calibri" w:cs="Calibri" w:eastAsia="Calibri" w:hAnsi="Calibri"/>
                <w:b/>
                <w:bCs/>
                <w:color w:val="FFFFFF"/>
                <w:sz w:val="20"/>
                <w:szCs w:val="20"/>
              </w:rPr>
              <w:t xml:space="preserve">Signature</w:t>
            </w:r>
          </w:p>
        </w:tc>
        <w:tc>
          <w:tcPr>
            <w:tcW w:type="dxa" w:w="2060"/>
            <w:tcBorders>
              <w:top w:val="single" w:color="B0B0B0" w:sz="1"/>
              <w:left w:val="single" w:color="B0B0B0" w:sz="1"/>
              <w:bottom w:val="single" w:color="B0B0B0" w:sz="1"/>
              <w:right w:val="single" w:color="B0B0B0" w:sz="1"/>
            </w:tcBorders>
            <w:shd w:fill="1B2A4A" w:val="clear"/>
            <w:tcMar>
              <w:top w:type="dxa" w:w="40"/>
              <w:left w:type="dxa" w:w="60"/>
              <w:bottom w:type="dxa" w:w="40"/>
              <w:right w:type="dxa" w:w="60"/>
            </w:tcMar>
            <w:vAlign w:val="center"/>
          </w:tcPr>
          <w:p>
            <w:pPr>
              <w:spacing w:after="0" w:before="0"/>
              <w:jc w:val="center"/>
            </w:pPr>
            <w:r>
              <w:rPr>
                <w:rFonts w:ascii="Calibri" w:cs="Calibri" w:eastAsia="Calibri" w:hAnsi="Calibri"/>
                <w:b/>
                <w:bCs/>
                <w:color w:val="FFFFFF"/>
                <w:sz w:val="20"/>
                <w:szCs w:val="20"/>
              </w:rPr>
              <w:t xml:space="preserve">Date</w:t>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1</w:t>
            </w:r>
          </w:p>
        </w:tc>
        <w:tc>
          <w:tcPr>
            <w:tcW w:type="dxa" w:w="27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8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0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2</w:t>
            </w:r>
          </w:p>
        </w:tc>
        <w:tc>
          <w:tcPr>
            <w:tcW w:type="dxa" w:w="27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8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0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3</w:t>
            </w:r>
          </w:p>
        </w:tc>
        <w:tc>
          <w:tcPr>
            <w:tcW w:type="dxa" w:w="27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8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0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4</w:t>
            </w:r>
          </w:p>
        </w:tc>
        <w:tc>
          <w:tcPr>
            <w:tcW w:type="dxa" w:w="27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8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0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5</w:t>
            </w:r>
          </w:p>
        </w:tc>
        <w:tc>
          <w:tcPr>
            <w:tcW w:type="dxa" w:w="27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8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0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6</w:t>
            </w:r>
          </w:p>
        </w:tc>
        <w:tc>
          <w:tcPr>
            <w:tcW w:type="dxa" w:w="27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8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0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7</w:t>
            </w:r>
          </w:p>
        </w:tc>
        <w:tc>
          <w:tcPr>
            <w:tcW w:type="dxa" w:w="27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8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0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8</w:t>
            </w:r>
          </w:p>
        </w:tc>
        <w:tc>
          <w:tcPr>
            <w:tcW w:type="dxa" w:w="27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8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0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9</w:t>
            </w:r>
          </w:p>
        </w:tc>
        <w:tc>
          <w:tcPr>
            <w:tcW w:type="dxa" w:w="27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8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0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10</w:t>
            </w:r>
          </w:p>
        </w:tc>
        <w:tc>
          <w:tcPr>
            <w:tcW w:type="dxa" w:w="27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8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0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11</w:t>
            </w:r>
          </w:p>
        </w:tc>
        <w:tc>
          <w:tcPr>
            <w:tcW w:type="dxa" w:w="27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8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0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12</w:t>
            </w:r>
          </w:p>
        </w:tc>
        <w:tc>
          <w:tcPr>
            <w:tcW w:type="dxa" w:w="27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8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0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13</w:t>
            </w:r>
          </w:p>
        </w:tc>
        <w:tc>
          <w:tcPr>
            <w:tcW w:type="dxa" w:w="27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8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0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14</w:t>
            </w:r>
          </w:p>
        </w:tc>
        <w:tc>
          <w:tcPr>
            <w:tcW w:type="dxa" w:w="27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8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0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15</w:t>
            </w:r>
          </w:p>
        </w:tc>
        <w:tc>
          <w:tcPr>
            <w:tcW w:type="dxa" w:w="27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18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c>
          <w:tcPr>
            <w:tcW w:type="dxa" w:w="206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w:r>
          </w:p>
        </w:tc>
      </w:tr>
    </w:tbl>
    <w:p>
      <w:pPr>
        <w:pStyle w:val="Heading1"/>
        <w:pageBreakBefore/>
      </w:pPr>
      <w:r>
        <w:rPr>
          <w:rFonts w:ascii="Calibri" w:cs="Calibri" w:eastAsia="Calibri" w:hAnsi="Calibri"/>
          <w:b/>
          <w:bCs/>
          <w:color w:val="1B2A4A"/>
          <w:sz w:val="32"/>
          <w:szCs w:val="32"/>
        </w:rPr>
        <w:t xml:space="preserve">Appendix D: GHS Pictogram Reference Chart</w:t>
      </w:r>
    </w:p>
    <w:p>
      <w:pPr>
        <w:spacing w:after="300" w:before="0"/>
        <w:jc w:val="left"/>
      </w:pPr>
      <w:r>
        <w:rPr>
          <w:rFonts w:ascii="Calibri" w:cs="Calibri" w:eastAsia="Calibri" w:hAnsi="Calibri"/>
          <w:b w:val="false"/>
          <w:bCs w:val="false"/>
          <w:i w:val="false"/>
          <w:iCs w:val="false"/>
          <w:color w:val="000000"/>
          <w:sz w:val="22"/>
          <w:szCs w:val="22"/>
        </w:rPr>
        <w:t xml:space="preserve">The Globally Harmonized System (GHS) uses standardized pictograms on labels and SDSs to communicate specific hazards. Each pictogram is a red-bordered diamond shape with a black symbol on a white background. Below is a description of each pictogram and its meaning.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4680"/>
      </w:tblGrid>
      <w:tr>
        <w:tc>
          <w:tcPr>
            <w:tcW w:type="dxa" w:w="2340"/>
            <w:tcBorders>
              <w:top w:val="single" w:color="B0B0B0" w:sz="1"/>
              <w:left w:val="single" w:color="B0B0B0" w:sz="1"/>
              <w:bottom w:val="single" w:color="B0B0B0" w:sz="1"/>
              <w:right w:val="single" w:color="B0B0B0" w:sz="1"/>
            </w:tcBorders>
            <w:shd w:fill="1B2A4A" w:val="clear"/>
            <w:tcMar>
              <w:top w:type="dxa" w:w="40"/>
              <w:left w:type="dxa" w:w="60"/>
              <w:bottom w:type="dxa" w:w="40"/>
              <w:right w:type="dxa" w:w="60"/>
            </w:tcMar>
            <w:vAlign w:val="center"/>
          </w:tcPr>
          <w:p>
            <w:pPr>
              <w:spacing w:after="0" w:before="0"/>
              <w:jc w:val="center"/>
            </w:pPr>
            <w:r>
              <w:rPr>
                <w:rFonts w:ascii="Calibri" w:cs="Calibri" w:eastAsia="Calibri" w:hAnsi="Calibri"/>
                <w:b/>
                <w:bCs/>
                <w:color w:val="FFFFFF"/>
                <w:sz w:val="20"/>
                <w:szCs w:val="20"/>
              </w:rPr>
              <w:t xml:space="preserve">Pictogram Symbol</w:t>
            </w:r>
          </w:p>
        </w:tc>
        <w:tc>
          <w:tcPr>
            <w:tcW w:type="dxa" w:w="2340"/>
            <w:tcBorders>
              <w:top w:val="single" w:color="B0B0B0" w:sz="1"/>
              <w:left w:val="single" w:color="B0B0B0" w:sz="1"/>
              <w:bottom w:val="single" w:color="B0B0B0" w:sz="1"/>
              <w:right w:val="single" w:color="B0B0B0" w:sz="1"/>
            </w:tcBorders>
            <w:shd w:fill="1B2A4A" w:val="clear"/>
            <w:tcMar>
              <w:top w:type="dxa" w:w="40"/>
              <w:left w:type="dxa" w:w="60"/>
              <w:bottom w:type="dxa" w:w="40"/>
              <w:right w:type="dxa" w:w="60"/>
            </w:tcMar>
            <w:vAlign w:val="center"/>
          </w:tcPr>
          <w:p>
            <w:pPr>
              <w:spacing w:after="0" w:before="0"/>
              <w:jc w:val="center"/>
            </w:pPr>
            <w:r>
              <w:rPr>
                <w:rFonts w:ascii="Calibri" w:cs="Calibri" w:eastAsia="Calibri" w:hAnsi="Calibri"/>
                <w:b/>
                <w:bCs/>
                <w:color w:val="FFFFFF"/>
                <w:sz w:val="20"/>
                <w:szCs w:val="20"/>
              </w:rPr>
              <w:t xml:space="preserve">Pictogram Name</w:t>
            </w:r>
          </w:p>
        </w:tc>
        <w:tc>
          <w:tcPr>
            <w:tcW w:type="dxa" w:w="4680"/>
            <w:tcBorders>
              <w:top w:val="single" w:color="B0B0B0" w:sz="1"/>
              <w:left w:val="single" w:color="B0B0B0" w:sz="1"/>
              <w:bottom w:val="single" w:color="B0B0B0" w:sz="1"/>
              <w:right w:val="single" w:color="B0B0B0" w:sz="1"/>
            </w:tcBorders>
            <w:shd w:fill="1B2A4A" w:val="clear"/>
            <w:tcMar>
              <w:top w:type="dxa" w:w="40"/>
              <w:left w:type="dxa" w:w="60"/>
              <w:bottom w:type="dxa" w:w="40"/>
              <w:right w:type="dxa" w:w="60"/>
            </w:tcMar>
            <w:vAlign w:val="center"/>
          </w:tcPr>
          <w:p>
            <w:pPr>
              <w:spacing w:after="0" w:before="0"/>
              <w:jc w:val="center"/>
            </w:pPr>
            <w:r>
              <w:rPr>
                <w:rFonts w:ascii="Calibri" w:cs="Calibri" w:eastAsia="Calibri" w:hAnsi="Calibri"/>
                <w:b/>
                <w:bCs/>
                <w:color w:val="FFFFFF"/>
                <w:sz w:val="20"/>
                <w:szCs w:val="20"/>
              </w:rPr>
              <w:t xml:space="preserve">Hazard Description</w:t>
            </w:r>
          </w:p>
        </w:tc>
      </w:tr>
      <w:tr>
        <w:tc>
          <w:tcPr>
            <w:tcW w:type="dxa" w:w="234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Flame</w:t>
            </w:r>
          </w:p>
        </w:tc>
        <w:tc>
          <w:tcPr>
            <w:tcW w:type="dxa" w:w="234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Flammable</w:t>
            </w:r>
          </w:p>
        </w:tc>
        <w:tc>
          <w:tcPr>
            <w:tcW w:type="dxa" w:w="468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Flammable gases, liquids, solids, aerosols. Self-reactive substances. Pyrophoric materials. Self-heating substances. Substances that emit flammable gases when in contact with water. Organic peroxides.</w:t>
            </w:r>
          </w:p>
        </w:tc>
      </w:tr>
      <w:tr>
        <w:tc>
          <w:tcPr>
            <w:tcW w:type="dxa" w:w="234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Flame Over Circle</w:t>
            </w:r>
          </w:p>
        </w:tc>
        <w:tc>
          <w:tcPr>
            <w:tcW w:type="dxa" w:w="234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Oxidizer</w:t>
            </w:r>
          </w:p>
        </w:tc>
        <w:tc>
          <w:tcPr>
            <w:tcW w:type="dxa" w:w="468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Oxidizing gases, liquids, and solids. May cause or intensify fire. May cause explosion.</w:t>
            </w:r>
          </w:p>
        </w:tc>
      </w:tr>
      <w:tr>
        <w:tc>
          <w:tcPr>
            <w:tcW w:type="dxa" w:w="234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Skull and Crossbones</w:t>
            </w:r>
          </w:p>
        </w:tc>
        <w:tc>
          <w:tcPr>
            <w:tcW w:type="dxa" w:w="234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Acute Toxicity (Severe)</w:t>
            </w:r>
          </w:p>
        </w:tc>
        <w:tc>
          <w:tcPr>
            <w:tcW w:type="dxa" w:w="468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Chemicals that are fatal, toxic, or highly toxic if swallowed, inhaled, or absorbed through the skin. Categories 1-3 acute toxicity.</w:t>
            </w:r>
          </w:p>
        </w:tc>
      </w:tr>
      <w:tr>
        <w:tc>
          <w:tcPr>
            <w:tcW w:type="dxa" w:w="234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Exclamation Mark</w:t>
            </w:r>
          </w:p>
        </w:tc>
        <w:tc>
          <w:tcPr>
            <w:tcW w:type="dxa" w:w="234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Irritant / Harmful</w:t>
            </w:r>
          </w:p>
        </w:tc>
        <w:tc>
          <w:tcPr>
            <w:tcW w:type="dxa" w:w="468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Skin and eye irritation. Skin sensitization. Acute toxicity (Category 4 — harmful). Narcotic effects. Respiratory tract irritation. Hazardous to ozone layer.</w:t>
            </w:r>
          </w:p>
        </w:tc>
      </w:tr>
      <w:tr>
        <w:tc>
          <w:tcPr>
            <w:tcW w:type="dxa" w:w="234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Health Hazard (Silhouette)</w:t>
            </w:r>
          </w:p>
        </w:tc>
        <w:tc>
          <w:tcPr>
            <w:tcW w:type="dxa" w:w="234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Serious Health Hazard</w:t>
            </w:r>
          </w:p>
        </w:tc>
        <w:tc>
          <w:tcPr>
            <w:tcW w:type="dxa" w:w="468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Carcinogenicity. Respiratory sensitization. Reproductive toxicity. Specific target organ toxicity (single and repeated exposure). Germ cell mutagenicity. Aspiration hazard.</w:t>
            </w:r>
          </w:p>
        </w:tc>
      </w:tr>
      <w:tr>
        <w:tc>
          <w:tcPr>
            <w:tcW w:type="dxa" w:w="234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Corrosion</w:t>
            </w:r>
          </w:p>
        </w:tc>
        <w:tc>
          <w:tcPr>
            <w:tcW w:type="dxa" w:w="234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Corrosive</w:t>
            </w:r>
          </w:p>
        </w:tc>
        <w:tc>
          <w:tcPr>
            <w:tcW w:type="dxa" w:w="468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Skin corrosion / burns. Serious eye damage. Corrosive to metals.</w:t>
            </w:r>
          </w:p>
        </w:tc>
      </w:tr>
      <w:tr>
        <w:tc>
          <w:tcPr>
            <w:tcW w:type="dxa" w:w="234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Gas Cylinder</w:t>
            </w:r>
          </w:p>
        </w:tc>
        <w:tc>
          <w:tcPr>
            <w:tcW w:type="dxa" w:w="234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Compressed Gas</w:t>
            </w:r>
          </w:p>
        </w:tc>
        <w:tc>
          <w:tcPr>
            <w:tcW w:type="dxa" w:w="468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Compressed gases. Liquefied gases. Refrigerated liquefied gases. Dissolved gases. May explode if heated.</w:t>
            </w:r>
          </w:p>
        </w:tc>
      </w:tr>
      <w:tr>
        <w:tc>
          <w:tcPr>
            <w:tcW w:type="dxa" w:w="234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Exploding Bomb</w:t>
            </w:r>
          </w:p>
        </w:tc>
        <w:tc>
          <w:tcPr>
            <w:tcW w:type="dxa" w:w="234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Explosive</w:t>
            </w:r>
          </w:p>
        </w:tc>
        <w:tc>
          <w:tcPr>
            <w:tcW w:type="dxa" w:w="468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Explosives. Self-reactive substances. Organic peroxides. Unstable explosives. Divisions 1.1 through 1.6.</w:t>
            </w:r>
          </w:p>
        </w:tc>
      </w:tr>
      <w:tr>
        <w:tc>
          <w:tcPr>
            <w:tcW w:type="dxa" w:w="234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 Environment</w:t>
            </w:r>
          </w:p>
        </w:tc>
        <w:tc>
          <w:tcPr>
            <w:tcW w:type="dxa" w:w="234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Environmental Hazard</w:t>
            </w:r>
          </w:p>
        </w:tc>
        <w:tc>
          <w:tcPr>
            <w:tcW w:type="dxa" w:w="468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pPr>
            <w:r>
              <w:rPr>
                <w:rFonts w:ascii="Calibri" w:cs="Calibri" w:eastAsia="Calibri" w:hAnsi="Calibri"/>
                <w:sz w:val="20"/>
                <w:szCs w:val="20"/>
              </w:rPr>
              <w:t xml:space="preserve">Acute and chronic aquatic toxicity. Hazardous to the aquatic environment. Not mandated by OSHA but may appear on labels/SDSs.</w:t>
            </w:r>
          </w:p>
        </w:tc>
      </w:tr>
    </w:tbl>
    <w:p>
      <w:pPr>
        <w:spacing w:after="120" w:before="200"/>
        <w:jc w:val="left"/>
      </w:pPr>
      <w:r>
        <w:rPr>
          <w:rFonts w:ascii="Calibri" w:cs="Calibri" w:eastAsia="Calibri" w:hAnsi="Calibri"/>
          <w:b w:val="false"/>
          <w:bCs w:val="false"/>
          <w:i w:val="false"/>
          <w:iCs w:val="false"/>
          <w:color w:val="000000"/>
          <w:sz w:val="22"/>
          <w:szCs w:val="22"/>
        </w:rPr>
        <w:t xml:space="preserve"/>
      </w:r>
    </w:p>
    <w:p>
      <w:pPr>
        <w:spacing w:after="120" w:before="0"/>
        <w:jc w:val="left"/>
      </w:pPr>
      <w:r>
        <w:rPr>
          <w:rFonts w:ascii="Calibri" w:cs="Calibri" w:eastAsia="Calibri" w:hAnsi="Calibri"/>
          <w:b/>
          <w:bCs/>
          <w:i w:val="false"/>
          <w:iCs w:val="false"/>
          <w:color w:val="1B2A4A"/>
          <w:sz w:val="22"/>
          <w:szCs w:val="22"/>
        </w:rPr>
        <w:t xml:space="preserve">Signal Words: </w:t>
      </w:r>
      <w:r>
        <w:rPr>
          <w:rFonts w:ascii="Calibri" w:cs="Calibri" w:eastAsia="Calibri" w:hAnsi="Calibri"/>
          <w:b w:val="false"/>
          <w:bCs w:val="false"/>
          <w:i w:val="false"/>
          <w:iCs w:val="false"/>
          <w:color w:val="000000"/>
          <w:sz w:val="22"/>
          <w:szCs w:val="22"/>
        </w:rPr>
        <w:t xml:space="preserve">"DANGER" indicates more severe hazards. "WARNING" indicates less severe hazards. A product will display only one signal word — the most severe applicable.</w:t>
      </w:r>
    </w:p>
    <w:p>
      <w:pPr>
        <w:spacing w:after="120" w:before="0"/>
        <w:jc w:val="left"/>
      </w:pPr>
      <w:r>
        <w:rPr>
          <w:rFonts w:ascii="Calibri" w:cs="Calibri" w:eastAsia="Calibri" w:hAnsi="Calibri"/>
          <w:b/>
          <w:bCs/>
          <w:i w:val="false"/>
          <w:iCs w:val="false"/>
          <w:color w:val="1B2A4A"/>
          <w:sz w:val="22"/>
          <w:szCs w:val="22"/>
        </w:rPr>
        <w:t xml:space="preserve">Hazard Statements: </w:t>
      </w:r>
      <w:r>
        <w:rPr>
          <w:rFonts w:ascii="Calibri" w:cs="Calibri" w:eastAsia="Calibri" w:hAnsi="Calibri"/>
          <w:b w:val="false"/>
          <w:bCs w:val="false"/>
          <w:i w:val="false"/>
          <w:iCs w:val="false"/>
          <w:color w:val="000000"/>
          <w:sz w:val="22"/>
          <w:szCs w:val="22"/>
        </w:rPr>
        <w:t xml:space="preserve">Standardized phrases describing the nature and degree of hazard (e.g., "Highly flammable liquid and vapor," "Causes serious eye damage"). These appear on both labels and SDSs.</w:t>
      </w:r>
    </w:p>
    <w:p>
      <w:pPr>
        <w:spacing w:after="120" w:before="0"/>
        <w:jc w:val="left"/>
      </w:pPr>
      <w:r>
        <w:rPr>
          <w:rFonts w:ascii="Calibri" w:cs="Calibri" w:eastAsia="Calibri" w:hAnsi="Calibri"/>
          <w:b/>
          <w:bCs/>
          <w:i w:val="false"/>
          <w:iCs w:val="false"/>
          <w:color w:val="1B2A4A"/>
          <w:sz w:val="22"/>
          <w:szCs w:val="22"/>
        </w:rPr>
        <w:t xml:space="preserve">Precautionary Statements: </w:t>
      </w:r>
      <w:r>
        <w:rPr>
          <w:rFonts w:ascii="Calibri" w:cs="Calibri" w:eastAsia="Calibri" w:hAnsi="Calibri"/>
          <w:b w:val="false"/>
          <w:bCs w:val="false"/>
          <w:i w:val="false"/>
          <w:iCs w:val="false"/>
          <w:color w:val="000000"/>
          <w:sz w:val="22"/>
          <w:szCs w:val="22"/>
        </w:rPr>
        <w:t xml:space="preserve">Recommended measures to minimize or prevent adverse effects from exposure, storage, or handling (e.g., "Keep away from heat/sparks/open flames," "Wear protective gloves/eye protection").</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999999"/>
        <w:sz w:val="16"/>
        <w:szCs w:val="16"/>
      </w:rPr>
      <w:t xml:space="preserve">Forbes Safety Solutions | HazCom Program | Page </w:t>
    </w:r>
    <w:r>
      <w:rPr>
        <w:rFonts w:ascii="Calibri" w:cs="Calibri" w:eastAsia="Calibri" w:hAnsi="Calibri"/>
        <w:color w:val="999999"/>
        <w:sz w:val="16"/>
        <w:szCs w:val="16"/>
      </w:rPr>
      <w:fldChar w:fldCharType="begin"/>
      <w:instrText xml:space="preserve">PAGE</w:instrText>
      <w:fldChar w:fldCharType="separate"/>
      <w:fldChar w:fldCharType="end"/>
    </w:r>
    <w:r>
      <w:rPr>
        <w:rFonts w:ascii="Calibri" w:cs="Calibri" w:eastAsia="Calibri" w:hAnsi="Calibri"/>
        <w:color w:val="999999"/>
        <w:sz w:val="16"/>
        <w:szCs w:val="16"/>
      </w:rPr>
      <w:t xml:space="preserve"> of </w:t>
    </w:r>
    <w:r>
      <w:rPr>
        <w:rFonts w:ascii="Calibri" w:cs="Calibri" w:eastAsia="Calibri" w:hAnsi="Calibri"/>
        <w:color w:val="999999"/>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i/>
        <w:iCs/>
        <w:color w:val="999999"/>
        <w:sz w:val="16"/>
        <w:szCs w:val="16"/>
      </w:rPr>
      <w:t xml:space="preserve">Hazard Communication Program — [Company Name]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1080" w:hanging="360"/>
      </w:pPr>
    </w:lvl>
  </w:abstractNum>
  <w:abstractNum w:abstractNumId="4" w15:restartNumberingAfterBreak="0">
    <w:multiLevelType w:val="hybridMultilevel"/>
    <w:lvl w:ilvl="0" w15:tentative="1">
      <w:start w:val="1"/>
      <w:numFmt w:val="decimal"/>
      <w:lvlText w:val="%1."/>
      <w:lvlJc w:val="left"/>
      <w:pPr>
        <w:ind w:left="720" w:hanging="360"/>
      </w:pPr>
    </w:lvl>
  </w:abstractNum>
  <w:abstractNum w:abstractNumId="5"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80" w:before="200"/>
      <w:outlineLvl w:val="2"/>
    </w:pPr>
    <w:rPr>
      <w:rFonts w:ascii="Calibri" w:cs="Calibri" w:eastAsia="Calibri" w:hAnsi="Calibri"/>
      <w:b/>
      <w:bCs/>
      <w:color w:val="1B2A4A"/>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2026-03-15T22:26:55.807Z</dcterms:created>
  <dcterms:modified xsi:type="dcterms:W3CDTF">2026-03-15T22:26:55.807Z</dcterms:modified>
</cp:coreProperties>
</file>

<file path=docProps/custom.xml><?xml version="1.0" encoding="utf-8"?>
<Properties xmlns="http://schemas.openxmlformats.org/officeDocument/2006/custom-properties" xmlns:vt="http://schemas.openxmlformats.org/officeDocument/2006/docPropsVTypes"/>
</file>