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Calibri" w:cs="Calibri" w:eastAsia="Calibri" w:hAnsi="Calibri"/>
          <w:b/>
          <w:bCs/>
          <w:color w:val="98A2B3"/>
          <w:sz w:val="20"/>
          <w:szCs w:val="20"/>
        </w:rPr>
        <w:t xml:space="preserve">[  COMPANY LOGO  ]</w:t>
      </w:r>
    </w:p>
    <w:p>
      <w:pPr>
        <w:pBdr>
          <w:bottom w:val="single" w:color="1B2A4A" w:sz="12"/>
        </w:pBdr>
        <w:spacing w:after="0" w:before="0"/>
      </w:pPr>
    </w:p>
    <w:p>
      <w:pPr>
        <w:spacing w:after="40" w:before="160"/>
      </w:pPr>
      <w:r>
        <w:rPr>
          <w:rFonts w:ascii="Calibri" w:cs="Calibri" w:eastAsia="Calibri" w:hAnsi="Calibri"/>
          <w:b/>
          <w:bCs/>
          <w:color w:val="1B2A4A"/>
          <w:sz w:val="36"/>
          <w:szCs w:val="36"/>
        </w:rPr>
        <w:t xml:space="preserve">JOB HAZARD ANALYSIS</w:t>
      </w:r>
    </w:p>
    <w:p>
      <w:pPr>
        <w:spacing w:after="60" w:before="0"/>
      </w:pPr>
      <w:r>
        <w:rPr>
          <w:rFonts w:ascii="Calibri" w:cs="Calibri" w:eastAsia="Calibri" w:hAnsi="Calibri"/>
          <w:color w:val="475467"/>
          <w:sz w:val="24"/>
          <w:szCs w:val="24"/>
        </w:rPr>
        <w:t xml:space="preserve">Electrical Rough-In — Commercial &amp; Residential</w:t>
      </w:r>
    </w:p>
    <w:p>
      <w:pPr>
        <w:spacing w:after="160" w:before="0"/>
      </w:pPr>
      <w:r>
        <w:rPr>
          <w:rFonts w:ascii="Calibri" w:cs="Calibri" w:eastAsia="Calibri" w:hAnsi="Calibri"/>
          <w:b/>
          <w:bCs/>
          <w:color w:val="1B2A4A"/>
          <w:sz w:val="17"/>
          <w:szCs w:val="17"/>
        </w:rPr>
        <w:t xml:space="preserve">Applicable Standards: </w:t>
      </w:r>
      <w:r>
        <w:rPr>
          <w:rFonts w:ascii="Calibri" w:cs="Calibri" w:eastAsia="Calibri" w:hAnsi="Calibri"/>
          <w:i/>
          <w:iCs/>
          <w:color w:val="344054"/>
          <w:sz w:val="17"/>
          <w:szCs w:val="17"/>
        </w:rPr>
        <w:t xml:space="preserve">29 CFR 1926 Subpart K (1926.400–1926.449) — Electrical; NFPA 70E — Electrical Safety in the Workplace; 29 CFR 1926.405 — Wiring Methods; NEC Article 210–230</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400"/>
        <w:gridCol w:w="5400"/>
      </w:tblGrid>
      <w:tr>
        <w:tc>
          <w:tcPr>
            <w:tcW w:type="dxa" w:w="5400"/>
            <w:tcBorders>
              <w:top w:val="single" w:color="D0D5DD" w:sz="1"/>
              <w:left w:val="single" w:color="D0D5DD" w:sz="1"/>
              <w:bottom w:val="single" w:color="D0D5DD" w:sz="1"/>
              <w:right w:val="single" w:color="D0D5DD" w:sz="1"/>
            </w:tcBorders>
            <w:shd w:fill="FFFFFF" w:val="clear"/>
            <w:tcMar>
              <w:top w:type="dxa" w:w="60"/>
              <w:left w:type="dxa" w:w="100"/>
              <w:bottom w:type="dxa" w:w="60"/>
              <w:right w:type="dxa" w:w="100"/>
            </w:tcMar>
          </w:tcPr>
          <w:p>
            <w:pPr>
              <w:spacing w:after="0" w:before="0"/>
            </w:pPr>
            <w:r>
              <w:rPr>
                <w:rFonts w:ascii="Calibri" w:cs="Calibri" w:eastAsia="Calibri" w:hAnsi="Calibri"/>
                <w:b/>
                <w:bCs/>
                <w:color w:val="1B2A4A"/>
                <w:sz w:val="20"/>
                <w:szCs w:val="20"/>
              </w:rPr>
              <w:t xml:space="preserve">Project Name: </w:t>
            </w:r>
            <w:r>
              <w:rPr>
                <w:rFonts w:ascii="Calibri" w:cs="Calibri" w:eastAsia="Calibri" w:hAnsi="Calibri"/>
                <w:color w:val="D0D5DD"/>
                <w:sz w:val="20"/>
                <w:szCs w:val="20"/>
              </w:rPr>
              <w:t xml:space="preserve">____________________________</w:t>
            </w:r>
          </w:p>
        </w:tc>
        <w:tc>
          <w:tcPr>
            <w:tcW w:type="dxa" w:w="5400"/>
            <w:tcBorders>
              <w:top w:val="single" w:color="D0D5DD" w:sz="1"/>
              <w:left w:val="single" w:color="D0D5DD" w:sz="1"/>
              <w:bottom w:val="single" w:color="D0D5DD" w:sz="1"/>
              <w:right w:val="single" w:color="D0D5DD" w:sz="1"/>
            </w:tcBorders>
            <w:shd w:fill="FFFFFF" w:val="clear"/>
            <w:tcMar>
              <w:top w:type="dxa" w:w="60"/>
              <w:left w:type="dxa" w:w="100"/>
              <w:bottom w:type="dxa" w:w="60"/>
              <w:right w:type="dxa" w:w="100"/>
            </w:tcMar>
          </w:tcPr>
          <w:p>
            <w:pPr>
              <w:spacing w:after="0" w:before="0"/>
            </w:pPr>
            <w:r>
              <w:rPr>
                <w:rFonts w:ascii="Calibri" w:cs="Calibri" w:eastAsia="Calibri" w:hAnsi="Calibri"/>
                <w:b/>
                <w:bCs/>
                <w:color w:val="1B2A4A"/>
                <w:sz w:val="20"/>
                <w:szCs w:val="20"/>
              </w:rPr>
              <w:t xml:space="preserve">Date: </w:t>
            </w:r>
            <w:r>
              <w:rPr>
                <w:rFonts w:ascii="Calibri" w:cs="Calibri" w:eastAsia="Calibri" w:hAnsi="Calibri"/>
                <w:color w:val="D0D5DD"/>
                <w:sz w:val="20"/>
                <w:szCs w:val="20"/>
              </w:rPr>
              <w:t xml:space="preserve">____________________________</w:t>
            </w:r>
          </w:p>
        </w:tc>
      </w:tr>
      <w:tr>
        <w:tc>
          <w:tcPr>
            <w:tcW w:type="dxa" w:w="5400"/>
            <w:tcBorders>
              <w:top w:val="single" w:color="D0D5DD" w:sz="1"/>
              <w:left w:val="single" w:color="D0D5DD" w:sz="1"/>
              <w:bottom w:val="single" w:color="D0D5DD" w:sz="1"/>
              <w:right w:val="single" w:color="D0D5DD" w:sz="1"/>
            </w:tcBorders>
            <w:shd w:fill="FFFFFF" w:val="clear"/>
            <w:tcMar>
              <w:top w:type="dxa" w:w="60"/>
              <w:left w:type="dxa" w:w="100"/>
              <w:bottom w:type="dxa" w:w="60"/>
              <w:right w:type="dxa" w:w="100"/>
            </w:tcMar>
          </w:tcPr>
          <w:p>
            <w:pPr>
              <w:spacing w:after="0" w:before="0"/>
            </w:pPr>
            <w:r>
              <w:rPr>
                <w:rFonts w:ascii="Calibri" w:cs="Calibri" w:eastAsia="Calibri" w:hAnsi="Calibri"/>
                <w:b/>
                <w:bCs/>
                <w:color w:val="1B2A4A"/>
                <w:sz w:val="20"/>
                <w:szCs w:val="20"/>
              </w:rPr>
              <w:t xml:space="preserve">Location: </w:t>
            </w:r>
            <w:r>
              <w:rPr>
                <w:rFonts w:ascii="Calibri" w:cs="Calibri" w:eastAsia="Calibri" w:hAnsi="Calibri"/>
                <w:color w:val="D0D5DD"/>
                <w:sz w:val="20"/>
                <w:szCs w:val="20"/>
              </w:rPr>
              <w:t xml:space="preserve">____________________________</w:t>
            </w:r>
          </w:p>
        </w:tc>
        <w:tc>
          <w:tcPr>
            <w:tcW w:type="dxa" w:w="5400"/>
            <w:tcBorders>
              <w:top w:val="single" w:color="D0D5DD" w:sz="1"/>
              <w:left w:val="single" w:color="D0D5DD" w:sz="1"/>
              <w:bottom w:val="single" w:color="D0D5DD" w:sz="1"/>
              <w:right w:val="single" w:color="D0D5DD" w:sz="1"/>
            </w:tcBorders>
            <w:shd w:fill="FFFFFF" w:val="clear"/>
            <w:tcMar>
              <w:top w:type="dxa" w:w="60"/>
              <w:left w:type="dxa" w:w="100"/>
              <w:bottom w:type="dxa" w:w="60"/>
              <w:right w:type="dxa" w:w="100"/>
            </w:tcMar>
          </w:tcPr>
          <w:p>
            <w:pPr>
              <w:spacing w:after="0" w:before="0"/>
            </w:pPr>
            <w:r>
              <w:rPr>
                <w:rFonts w:ascii="Calibri" w:cs="Calibri" w:eastAsia="Calibri" w:hAnsi="Calibri"/>
                <w:b/>
                <w:bCs/>
                <w:color w:val="1B2A4A"/>
                <w:sz w:val="20"/>
                <w:szCs w:val="20"/>
              </w:rPr>
              <w:t xml:space="preserve">Supervisor: </w:t>
            </w:r>
            <w:r>
              <w:rPr>
                <w:rFonts w:ascii="Calibri" w:cs="Calibri" w:eastAsia="Calibri" w:hAnsi="Calibri"/>
                <w:color w:val="D0D5DD"/>
                <w:sz w:val="20"/>
                <w:szCs w:val="20"/>
              </w:rPr>
              <w:t xml:space="preserve">____________________________</w:t>
            </w:r>
          </w:p>
        </w:tc>
      </w:tr>
      <w:tr>
        <w:tc>
          <w:tcPr>
            <w:tcW w:type="dxa" w:w="10800"/>
            <w:gridSpan w:val="2"/>
            <w:tcBorders>
              <w:top w:val="single" w:color="D0D5DD" w:sz="1"/>
              <w:left w:val="single" w:color="D0D5DD" w:sz="1"/>
              <w:bottom w:val="single" w:color="D0D5DD" w:sz="1"/>
              <w:right w:val="single" w:color="D0D5DD" w:sz="1"/>
            </w:tcBorders>
            <w:shd w:fill="FFFFFF" w:val="clear"/>
            <w:tcMar>
              <w:top w:type="dxa" w:w="60"/>
              <w:left w:type="dxa" w:w="100"/>
              <w:bottom w:type="dxa" w:w="60"/>
              <w:right w:type="dxa" w:w="100"/>
            </w:tcMar>
          </w:tcPr>
          <w:p>
            <w:pPr>
              <w:spacing w:after="0" w:before="0"/>
            </w:pPr>
            <w:r>
              <w:rPr>
                <w:rFonts w:ascii="Calibri" w:cs="Calibri" w:eastAsia="Calibri" w:hAnsi="Calibri"/>
                <w:b/>
                <w:bCs/>
                <w:color w:val="1B2A4A"/>
                <w:sz w:val="20"/>
                <w:szCs w:val="20"/>
              </w:rPr>
              <w:t xml:space="preserve">Crew Members: </w:t>
            </w:r>
            <w:r>
              <w:rPr>
                <w:rFonts w:ascii="Calibri" w:cs="Calibri" w:eastAsia="Calibri" w:hAnsi="Calibri"/>
                <w:color w:val="D0D5DD"/>
                <w:sz w:val="20"/>
                <w:szCs w:val="20"/>
              </w:rPr>
              <w:t xml:space="preserve">_______________________________________________________________________________</w:t>
            </w:r>
          </w:p>
        </w:tc>
      </w:tr>
    </w:tbl>
    <w:p>
      <w:pPr>
        <w:spacing w:after="80" w:before="160"/>
      </w:pP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650"/>
        <w:gridCol w:w="2600"/>
        <w:gridCol w:w="2700"/>
        <w:gridCol w:w="3200"/>
        <w:gridCol w:w="1650"/>
      </w:tblGrid>
      <w:tr>
        <w:trPr>
          <w:tblHeader/>
        </w:trPr>
        <w:tc>
          <w:tcPr>
            <w:tcW w:type="dxa" w:w="650"/>
            <w:tcBorders>
              <w:top w:val="single" w:color="D0D5DD" w:sz="1"/>
              <w:left w:val="single" w:color="D0D5DD" w:sz="1"/>
              <w:bottom w:val="single" w:color="D0D5DD" w:sz="1"/>
              <w:right w:val="single" w:color="D0D5DD" w:sz="1"/>
            </w:tcBorders>
            <w:shd w:fill="1B2A4A" w:val="clear"/>
            <w:tcMar>
              <w:top w:type="dxa" w:w="60"/>
              <w:left w:type="dxa" w:w="80"/>
              <w:bottom w:type="dxa" w:w="60"/>
              <w:right w:type="dxa" w:w="80"/>
            </w:tcMar>
            <w:vAlign w:val="center"/>
          </w:tcPr>
          <w:p>
            <w:pPr>
              <w:spacing w:after="0" w:before="0"/>
              <w:jc w:val="center"/>
            </w:pPr>
            <w:r>
              <w:rPr>
                <w:rFonts w:ascii="Calibri" w:cs="Calibri" w:eastAsia="Calibri" w:hAnsi="Calibri"/>
                <w:b/>
                <w:bCs/>
                <w:color w:val="FFFFFF"/>
                <w:sz w:val="18"/>
                <w:szCs w:val="18"/>
              </w:rPr>
              <w:t xml:space="preserve">Step #</w:t>
            </w:r>
          </w:p>
        </w:tc>
        <w:tc>
          <w:tcPr>
            <w:tcW w:type="dxa" w:w="2600"/>
            <w:tcBorders>
              <w:top w:val="single" w:color="D0D5DD" w:sz="1"/>
              <w:left w:val="single" w:color="D0D5DD" w:sz="1"/>
              <w:bottom w:val="single" w:color="D0D5DD" w:sz="1"/>
              <w:right w:val="single" w:color="D0D5DD" w:sz="1"/>
            </w:tcBorders>
            <w:shd w:fill="1B2A4A" w:val="clear"/>
            <w:tcMar>
              <w:top w:type="dxa" w:w="60"/>
              <w:left w:type="dxa" w:w="80"/>
              <w:bottom w:type="dxa" w:w="60"/>
              <w:right w:type="dxa" w:w="80"/>
            </w:tcMar>
            <w:vAlign w:val="center"/>
          </w:tcPr>
          <w:p>
            <w:pPr>
              <w:spacing w:after="0" w:before="0"/>
              <w:jc w:val="center"/>
            </w:pPr>
            <w:r>
              <w:rPr>
                <w:rFonts w:ascii="Calibri" w:cs="Calibri" w:eastAsia="Calibri" w:hAnsi="Calibri"/>
                <w:b/>
                <w:bCs/>
                <w:color w:val="FFFFFF"/>
                <w:sz w:val="18"/>
                <w:szCs w:val="18"/>
              </w:rPr>
              <w:t xml:space="preserve">Job Steps</w:t>
            </w:r>
          </w:p>
        </w:tc>
        <w:tc>
          <w:tcPr>
            <w:tcW w:type="dxa" w:w="2700"/>
            <w:tcBorders>
              <w:top w:val="single" w:color="D0D5DD" w:sz="1"/>
              <w:left w:val="single" w:color="D0D5DD" w:sz="1"/>
              <w:bottom w:val="single" w:color="D0D5DD" w:sz="1"/>
              <w:right w:val="single" w:color="D0D5DD" w:sz="1"/>
            </w:tcBorders>
            <w:shd w:fill="1B2A4A" w:val="clear"/>
            <w:tcMar>
              <w:top w:type="dxa" w:w="60"/>
              <w:left w:type="dxa" w:w="80"/>
              <w:bottom w:type="dxa" w:w="60"/>
              <w:right w:type="dxa" w:w="80"/>
            </w:tcMar>
            <w:vAlign w:val="center"/>
          </w:tcPr>
          <w:p>
            <w:pPr>
              <w:spacing w:after="0" w:before="0"/>
              <w:jc w:val="center"/>
            </w:pPr>
            <w:r>
              <w:rPr>
                <w:rFonts w:ascii="Calibri" w:cs="Calibri" w:eastAsia="Calibri" w:hAnsi="Calibri"/>
                <w:b/>
                <w:bCs/>
                <w:color w:val="FFFFFF"/>
                <w:sz w:val="18"/>
                <w:szCs w:val="18"/>
              </w:rPr>
              <w:t xml:space="preserve">Potential Hazards</w:t>
            </w:r>
          </w:p>
        </w:tc>
        <w:tc>
          <w:tcPr>
            <w:tcW w:type="dxa" w:w="3200"/>
            <w:tcBorders>
              <w:top w:val="single" w:color="D0D5DD" w:sz="1"/>
              <w:left w:val="single" w:color="D0D5DD" w:sz="1"/>
              <w:bottom w:val="single" w:color="D0D5DD" w:sz="1"/>
              <w:right w:val="single" w:color="D0D5DD" w:sz="1"/>
            </w:tcBorders>
            <w:shd w:fill="1B2A4A" w:val="clear"/>
            <w:tcMar>
              <w:top w:type="dxa" w:w="60"/>
              <w:left w:type="dxa" w:w="80"/>
              <w:bottom w:type="dxa" w:w="60"/>
              <w:right w:type="dxa" w:w="80"/>
            </w:tcMar>
            <w:vAlign w:val="center"/>
          </w:tcPr>
          <w:p>
            <w:pPr>
              <w:spacing w:after="0" w:before="0"/>
              <w:jc w:val="center"/>
            </w:pPr>
            <w:r>
              <w:rPr>
                <w:rFonts w:ascii="Calibri" w:cs="Calibri" w:eastAsia="Calibri" w:hAnsi="Calibri"/>
                <w:b/>
                <w:bCs/>
                <w:color w:val="FFFFFF"/>
                <w:sz w:val="18"/>
                <w:szCs w:val="18"/>
              </w:rPr>
              <w:t xml:space="preserve">Hazard Controls</w:t>
            </w:r>
          </w:p>
        </w:tc>
        <w:tc>
          <w:tcPr>
            <w:tcW w:type="dxa" w:w="1650"/>
            <w:tcBorders>
              <w:top w:val="single" w:color="D0D5DD" w:sz="1"/>
              <w:left w:val="single" w:color="D0D5DD" w:sz="1"/>
              <w:bottom w:val="single" w:color="D0D5DD" w:sz="1"/>
              <w:right w:val="single" w:color="D0D5DD" w:sz="1"/>
            </w:tcBorders>
            <w:shd w:fill="1B2A4A" w:val="clear"/>
            <w:tcMar>
              <w:top w:type="dxa" w:w="60"/>
              <w:left w:type="dxa" w:w="80"/>
              <w:bottom w:type="dxa" w:w="60"/>
              <w:right w:type="dxa" w:w="80"/>
            </w:tcMar>
            <w:vAlign w:val="center"/>
          </w:tcPr>
          <w:p>
            <w:pPr>
              <w:spacing w:after="0" w:before="0"/>
              <w:jc w:val="center"/>
            </w:pPr>
            <w:r>
              <w:rPr>
                <w:rFonts w:ascii="Calibri" w:cs="Calibri" w:eastAsia="Calibri" w:hAnsi="Calibri"/>
                <w:b/>
                <w:bCs/>
                <w:color w:val="FFFFFF"/>
                <w:sz w:val="18"/>
                <w:szCs w:val="18"/>
              </w:rPr>
              <w:t xml:space="preserve">Responsible Person</w:t>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1</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Review electrical drawings and conduct panel board layout / circuit identification</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Errors from outdated drawings leading to incorrect installation; conflict with other trades; energized existing circuits in remodel work</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Verify drawings are latest revision (RFI log current). Coordinate with GC and other trades on routing conflicts. Use non-contact voltage tester on ALL existing wiring before handling. Lock-out/tag-out (LOTO) per 1926.417 on any energized panel.</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2</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Install electrical boxes (junction, device, and panel enclosures)</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Struck-by from overhead work; cuts from sheet metal box edges; falls from ladders or scaffolds; dust/debris in eyes</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Wear safety glasses and cut-resistant gloves. Inspect ladder before each use — three-point contact. Secure boxes per NEC mounting requirements. Hard hat in multi-trade work areas. Deburr box knockouts before pulling wire.</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3</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Run conduit (EMT, rigid, or PVC) and support per NEC spacing requirements</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Musculoskeletal injury from overhead conduit installation; struck-by from falling conduit; cuts from conduit reaming; silica dust from concrete penetrations</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Use mechanical benders — no improvised bending methods. Two-person lift for runs &gt;10 ft. Support per NEC 358.30 (EMT) intervals. Ream all cut ends to prevent wire insulation damage. Core drill with dust collection or wet method for concrete penetrations.</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4</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Pull conductors through conduit and cable tray systems</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Electrical shock from contact with existing energized conductors; hand/finger pinch or crush injuries at pull points; eye injury from wire snap-back</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Confirm circuits de-energized — LOTO verified with voltage tester at point of work. Wear leather gloves at pull points. Safety glasses mandatory. Communication between puller and feeder (radios for long runs). Wire pulling lubricant to reduce tension.</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5</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Make conductor terminations and splices in junction boxes</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Electrocution from energized circuits; arc flash from improper connections; cuts from wire strippers; confined space in electrical rooms</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Zero-energy verification at each termination point. Use insulated tools rated for voltage class. Proper wire nut or compression connector sizing — no electrical tape as primary splice method. Follow NEC box fill calculations (314.16).</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6</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Install grounding electrode system and equipment bonding conductors</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Electrocution during ground rod driving; struck-by from hammer/driver; inadequate grounding creating future shock hazard</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De-energize all circuits during grounding work. Use ground rod driver — never strike rod directly with hammer. Verify ground resistance with fall-of-potential test (&lt;25 ohms per NEC 250.53). Torque all bonding connections to manufacturer specs.</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7</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Install temporary power distribution and GFCI protection</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Electrical shock from improper temporary wiring; fire from overloaded circuits; tripping hazards from cords</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All temporary power circuits protected by GFCI per 1926.405(a)(2)(ii). Assured equipment grounding conductor program as alternative. No daisy-chaining power strips. Protect cords from damage — elevate or use cord covers across walkways.</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8</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Conduct insulation resistance testing (megger test) on completed circuits</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Electric shock from test voltage (500V–1000V DC); damage to sensitive equipment; miswired circuits</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Verify all circuits isolated before testing. Post warning signs at both ends during megger test. Only qualified electricians perform testing. Discharge conductors after testing. Document readings per circuit.</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r>
        <w:tc>
          <w:tcPr>
            <w:tcW w:type="dxa" w:w="650"/>
            <w:tcBorders>
              <w:top w:val="single" w:color="D0D5DD" w:sz="1"/>
              <w:left w:val="single" w:color="D0D5DD" w:sz="1"/>
              <w:bottom w:val="single" w:color="D0D5DD" w:sz="1"/>
              <w:right w:val="single" w:color="D0D5DD" w:sz="1"/>
            </w:tcBorders>
            <w:shd w:fill="F2F4F7" w:val="clear"/>
            <w:tcMar>
              <w:top w:type="dxa" w:w="50"/>
              <w:left w:type="dxa" w:w="80"/>
              <w:bottom w:type="dxa" w:w="50"/>
              <w:right w:type="dxa" w:w="80"/>
            </w:tcMar>
            <w:vAlign w:val="center"/>
          </w:tcPr>
          <w:p>
            <w:pPr>
              <w:spacing w:after="0" w:before="0"/>
              <w:jc w:val="center"/>
            </w:pPr>
            <w:r>
              <w:rPr>
                <w:rFonts w:ascii="Calibri" w:cs="Calibri" w:eastAsia="Calibri" w:hAnsi="Calibri"/>
                <w:b/>
                <w:bCs/>
                <w:color w:val="1B2A4A"/>
                <w:sz w:val="18"/>
                <w:szCs w:val="18"/>
              </w:rPr>
              <w:t xml:space="preserve">9</w:t>
            </w:r>
          </w:p>
        </w:tc>
        <w:tc>
          <w:tcPr>
            <w:tcW w:type="dxa" w:w="26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Energize panels and perform circuit verification / labeling</w:t>
            </w:r>
          </w:p>
        </w:tc>
        <w:tc>
          <w:tcPr>
            <w:tcW w:type="dxa" w:w="27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Arc flash during initial energization; electrocution; burns from fault current; incorrect circuit identification</w:t>
            </w:r>
          </w:p>
        </w:tc>
        <w:tc>
          <w:tcPr>
            <w:tcW w:type="dxa" w:w="320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Energize with panel door closed — stand to the side (arc flash protection position). Wear appropriate PPE per NFPA 70E arc flash risk assessment (Category 2 minimum for 208V panels). Verify each circuit with receptacle tester. Label all breakers accurately.</w:t>
            </w:r>
          </w:p>
        </w:tc>
        <w:tc>
          <w:tcPr>
            <w:tcW w:type="dxa" w:w="1650"/>
            <w:tcBorders>
              <w:top w:val="single" w:color="D0D5DD" w:sz="1"/>
              <w:left w:val="single" w:color="D0D5DD" w:sz="1"/>
              <w:bottom w:val="single" w:color="D0D5DD" w:sz="1"/>
              <w:right w:val="single" w:color="D0D5DD" w:sz="1"/>
            </w:tcBorders>
            <w:shd w:fill="FFFFFF" w:val="clear"/>
            <w:tcMar>
              <w:top w:type="dxa" w:w="50"/>
              <w:left w:type="dxa" w:w="80"/>
              <w:bottom w:type="dxa" w:w="50"/>
              <w:right w:type="dxa" w:w="80"/>
            </w:tcMar>
            <w:vAlign w:val="top"/>
          </w:tcPr>
          <w:p>
            <w:pPr>
              <w:spacing w:after="0" w:before="0" w:line="240"/>
            </w:pPr>
            <w:r>
              <w:rPr>
                <w:rFonts w:ascii="Calibri" w:cs="Calibri" w:eastAsia="Calibri" w:hAnsi="Calibri"/>
                <w:b w:val="false"/>
                <w:bCs w:val="false"/>
                <w:color w:val="344054"/>
                <w:sz w:val="16"/>
                <w:szCs w:val="16"/>
              </w:rPr>
              <w:t xml:space="preserve"/>
            </w:r>
          </w:p>
        </w:tc>
      </w:tr>
    </w:tbl>
    <w:p>
      <w:pPr>
        <w:pBdr>
          <w:left w:val="single" w:color="1B2A4A" w:sz="8"/>
        </w:pBdr>
        <w:spacing w:after="80" w:before="200"/>
        <w:ind w:left="200"/>
      </w:pPr>
      <w:r>
        <w:rPr>
          <w:rFonts w:ascii="Calibri" w:cs="Calibri" w:eastAsia="Calibri" w:hAnsi="Calibri"/>
          <w:color w:val="1B2A4A"/>
          <w:sz w:val="20"/>
          <w:szCs w:val="20"/>
        </w:rPr>
        <w:t xml:space="preserve">⚠ </w:t>
      </w:r>
      <w:r>
        <w:rPr>
          <w:rFonts w:ascii="Calibri" w:cs="Calibri" w:eastAsia="Calibri" w:hAnsi="Calibri"/>
          <w:b/>
          <w:bCs/>
          <w:color w:val="1B2A4A"/>
          <w:sz w:val="18"/>
          <w:szCs w:val="18"/>
        </w:rPr>
        <w:t xml:space="preserve">This JHA must be reviewed and signed by all crew members before work begins. </w:t>
      </w:r>
      <w:r>
        <w:rPr>
          <w:rFonts w:ascii="Calibri" w:cs="Calibri" w:eastAsia="Calibri" w:hAnsi="Calibri"/>
          <w:color w:val="344054"/>
          <w:sz w:val="18"/>
          <w:szCs w:val="18"/>
        </w:rPr>
        <w:t xml:space="preserve">Conditions on the jobsite may change — reassess hazards throughout the shift and update this JHA as necessary.</w:t>
      </w:r>
    </w:p>
    <w:p>
      <w:pPr>
        <w:spacing w:after="40" w:before="200"/>
      </w:pPr>
      <w:r>
        <w:rPr>
          <w:rFonts w:ascii="Calibri" w:cs="Calibri" w:eastAsia="Calibri" w:hAnsi="Calibri"/>
          <w:b/>
          <w:bCs/>
          <w:color w:val="1B2A4A"/>
          <w:sz w:val="22"/>
          <w:szCs w:val="22"/>
        </w:rPr>
        <w:t xml:space="preserve">REVIEW &amp; APPROVAL</w:t>
      </w:r>
    </w:p>
    <w:p>
      <w:pPr>
        <w:pBdr>
          <w:bottom w:val="single" w:color="1B2A4A" w:sz="4"/>
        </w:pBdr>
        <w:spacing w:after="80" w:before="0"/>
      </w:pP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3600"/>
        <w:gridCol w:w="3600"/>
        <w:gridCol w:w="3600"/>
      </w:tblGrid>
      <w:tr>
        <w:tc>
          <w:tcPr>
            <w:tcW w:type="dxa" w:w="3600"/>
            <w:tcBorders>
              <w:top w:val="none" w:sz="0"/>
              <w:left w:val="none" w:sz="0"/>
              <w:bottom w:val="none" w:sz="0"/>
              <w:right w:val="none" w:sz="0"/>
            </w:tcBorders>
            <w:tcMar>
              <w:top w:type="dxa" w:w="40"/>
              <w:left w:type="dxa" w:w="80"/>
              <w:bottom w:type="dxa" w:w="40"/>
              <w:right w:type="dxa" w:w="80"/>
            </w:tcMar>
          </w:tcPr>
          <w:p>
            <w:pPr>
              <w:spacing w:after="0" w:before="200"/>
            </w:pPr>
          </w:p>
          <w:p>
            <w:pPr>
              <w:spacing w:after="0" w:before="0"/>
            </w:pPr>
            <w:r>
              <w:rPr>
                <w:rFonts w:ascii="Calibri" w:cs="Calibri" w:eastAsia="Calibri" w:hAnsi="Calibri"/>
                <w:color w:val="D0D5DD"/>
                <w:sz w:val="18"/>
                <w:szCs w:val="18"/>
              </w:rPr>
              <w:t xml:space="preserve">________________________________________</w:t>
            </w:r>
          </w:p>
          <w:p>
            <w:pPr>
              <w:spacing w:after="0" w:before="40"/>
            </w:pPr>
            <w:r>
              <w:rPr>
                <w:rFonts w:ascii="Calibri" w:cs="Calibri" w:eastAsia="Calibri" w:hAnsi="Calibri"/>
                <w:b/>
                <w:bCs/>
                <w:color w:val="344054"/>
                <w:sz w:val="16"/>
                <w:szCs w:val="16"/>
              </w:rPr>
              <w:t xml:space="preserve">Reviewed By (Print Name)</w:t>
            </w:r>
          </w:p>
        </w:tc>
        <w:tc>
          <w:tcPr>
            <w:tcW w:type="dxa" w:w="3600"/>
            <w:tcBorders>
              <w:top w:val="none" w:sz="0"/>
              <w:left w:val="none" w:sz="0"/>
              <w:bottom w:val="none" w:sz="0"/>
              <w:right w:val="none" w:sz="0"/>
            </w:tcBorders>
            <w:tcMar>
              <w:top w:type="dxa" w:w="40"/>
              <w:left w:type="dxa" w:w="80"/>
              <w:bottom w:type="dxa" w:w="40"/>
              <w:right w:type="dxa" w:w="80"/>
            </w:tcMar>
          </w:tcPr>
          <w:p>
            <w:pPr>
              <w:spacing w:after="0" w:before="200"/>
            </w:pPr>
          </w:p>
          <w:p>
            <w:pPr>
              <w:spacing w:after="0" w:before="0"/>
            </w:pPr>
            <w:r>
              <w:rPr>
                <w:rFonts w:ascii="Calibri" w:cs="Calibri" w:eastAsia="Calibri" w:hAnsi="Calibri"/>
                <w:color w:val="D0D5DD"/>
                <w:sz w:val="18"/>
                <w:szCs w:val="18"/>
              </w:rPr>
              <w:t xml:space="preserve">________________________________________</w:t>
            </w:r>
          </w:p>
          <w:p>
            <w:pPr>
              <w:spacing w:after="0" w:before="40"/>
            </w:pPr>
            <w:r>
              <w:rPr>
                <w:rFonts w:ascii="Calibri" w:cs="Calibri" w:eastAsia="Calibri" w:hAnsi="Calibri"/>
                <w:b/>
                <w:bCs/>
                <w:color w:val="344054"/>
                <w:sz w:val="16"/>
                <w:szCs w:val="16"/>
              </w:rPr>
              <w:t xml:space="preserve">Signature</w:t>
            </w:r>
          </w:p>
        </w:tc>
        <w:tc>
          <w:tcPr>
            <w:tcW w:type="dxa" w:w="3600"/>
            <w:tcBorders>
              <w:top w:val="none" w:sz="0"/>
              <w:left w:val="none" w:sz="0"/>
              <w:bottom w:val="none" w:sz="0"/>
              <w:right w:val="none" w:sz="0"/>
            </w:tcBorders>
            <w:tcMar>
              <w:top w:type="dxa" w:w="40"/>
              <w:left w:type="dxa" w:w="80"/>
              <w:bottom w:type="dxa" w:w="40"/>
              <w:right w:type="dxa" w:w="80"/>
            </w:tcMar>
          </w:tcPr>
          <w:p>
            <w:pPr>
              <w:spacing w:after="0" w:before="200"/>
            </w:pPr>
          </w:p>
          <w:p>
            <w:pPr>
              <w:spacing w:after="0" w:before="0"/>
            </w:pPr>
            <w:r>
              <w:rPr>
                <w:rFonts w:ascii="Calibri" w:cs="Calibri" w:eastAsia="Calibri" w:hAnsi="Calibri"/>
                <w:color w:val="D0D5DD"/>
                <w:sz w:val="18"/>
                <w:szCs w:val="18"/>
              </w:rPr>
              <w:t xml:space="preserve">________________________________________</w:t>
            </w:r>
          </w:p>
          <w:p>
            <w:pPr>
              <w:spacing w:after="0" w:before="40"/>
            </w:pPr>
            <w:r>
              <w:rPr>
                <w:rFonts w:ascii="Calibri" w:cs="Calibri" w:eastAsia="Calibri" w:hAnsi="Calibri"/>
                <w:b/>
                <w:bCs/>
                <w:color w:val="344054"/>
                <w:sz w:val="16"/>
                <w:szCs w:val="16"/>
              </w:rPr>
              <w:t xml:space="preserve">Date</w:t>
            </w:r>
          </w:p>
        </w:tc>
      </w:tr>
    </w:tbl>
    <w:sectPr>
      <w:headerReference w:type="default" r:id="rId7"/>
      <w:footerReference w:type="default" r:id="rId8"/>
      <w:pgSz w:w="12240" w:h="15840" w:orient="portrait"/>
      <w:pgMar w:top="720" w:right="720" w:bottom="72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40" w:before="0"/>
      <w:jc w:val="center"/>
    </w:pPr>
    <w:r>
      <w:rPr>
        <w:rFonts w:ascii="Calibri" w:cs="Calibri" w:eastAsia="Calibri" w:hAnsi="Calibri"/>
        <w:b/>
        <w:bCs/>
        <w:color w:val="1B2A4A"/>
        <w:sz w:val="14"/>
        <w:szCs w:val="14"/>
      </w:rPr>
      <w:t xml:space="preserve">Forbes Safety Solutions</w:t>
    </w:r>
    <w:r>
      <w:rPr>
        <w:rFonts w:ascii="Calibri" w:cs="Calibri" w:eastAsia="Calibri" w:hAnsi="Calibri"/>
        <w:color w:val="667085"/>
        <w:sz w:val="14"/>
        <w:szCs w:val="14"/>
      </w:rPr>
      <w:t xml:space="preserve">  |  OSHA Compliant Template  |  Page </w:t>
    </w:r>
    <w:r>
      <w:rPr>
        <w:rFonts w:ascii="Calibri" w:cs="Calibri" w:eastAsia="Calibri" w:hAnsi="Calibri"/>
        <w:color w:val="667085"/>
        <w:sz w:val="14"/>
        <w:szCs w:val="14"/>
      </w:rPr>
      <w:fldChar w:fldCharType="begin"/>
      <w:instrText xml:space="preserve">PAGE</w:instrText>
      <w:fldChar w:fldCharType="separate"/>
      <w:fldChar w:fldCharType="end"/>
    </w:r>
    <w:r>
      <w:rPr>
        <w:rFonts w:ascii="Calibri" w:cs="Calibri" w:eastAsia="Calibri" w:hAnsi="Calibri"/>
        <w:color w:val="667085"/>
        <w:sz w:val="14"/>
        <w:szCs w:val="14"/>
      </w:rPr>
      <w:t xml:space="preserve"> of </w:t>
    </w:r>
    <w:r>
      <w:rPr>
        <w:rFonts w:ascii="Calibri" w:cs="Calibri" w:eastAsia="Calibri" w:hAnsi="Calibri"/>
        <w:color w:val="667085"/>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jc w:val="right"/>
    </w:pPr>
    <w:r>
      <w:rPr>
        <w:rFonts w:ascii="Calibri" w:cs="Calibri" w:eastAsia="Calibri" w:hAnsi="Calibri"/>
        <w:b/>
        <w:bCs/>
        <w:i/>
        <w:iCs/>
        <w:color w:val="1B2A4A"/>
        <w:sz w:val="16"/>
        <w:szCs w:val="16"/>
      </w:rPr>
      <w:t xml:space="preserve">Forbes Safety Solutions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44054"/>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2026-03-15T20:28:05.022Z</dcterms:created>
  <dcterms:modified xsi:type="dcterms:W3CDTF">2026-03-15T20:28:05.022Z</dcterms:modified>
</cp:coreProperties>
</file>

<file path=docProps/custom.xml><?xml version="1.0" encoding="utf-8"?>
<Properties xmlns="http://schemas.openxmlformats.org/officeDocument/2006/custom-properties" xmlns:vt="http://schemas.openxmlformats.org/officeDocument/2006/docPropsVTypes"/>
</file>