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4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300"/>
              <w:left w:type="dxa" w:w="400"/>
              <w:bottom w:type="dxa" w:w="300"/>
              <w:right w:type="dxa" w:w="400"/>
            </w:tcMar>
          </w:tcPr>
          <w:p>
            <w:pPr>
              <w:spacing w:after="120" w:before="0"/>
              <w:jc w:val="center"/>
            </w:pPr>
            <w:r>
              <w:rPr>
                <w:rFonts w:ascii="Calibri" w:cs="Calibri" w:eastAsia="Calibri" w:hAnsi="Calibri"/>
                <w:b/>
                <w:bCs/>
                <w:color w:val="E8A838"/>
                <w:sz w:val="24"/>
                <w:szCs w:val="24"/>
              </w:rPr>
              <w:t xml:space="preserve">FORBES SAFETY SOLUTIONS</w:t>
            </w:r>
          </w:p>
          <w:p>
            <w:pPr>
              <w:spacing w:after="0" w:before="200"/>
              <w:jc w:val="center"/>
            </w:pPr>
            <w:r>
              <w:rPr>
                <w:rFonts w:ascii="Calibri" w:cs="Calibri" w:eastAsia="Calibri" w:hAnsi="Calibri"/>
                <w:b/>
                <w:bCs/>
                <w:color w:val="FFFFFF"/>
                <w:sz w:val="44"/>
                <w:szCs w:val="44"/>
              </w:rPr>
              <w:t xml:space="preserve">ELECTRICAL SAFETY
PROGRAM</w:t>
            </w:r>
          </w:p>
          <w:p>
            <w:pPr>
              <w:spacing w:after="0" w:before="100"/>
              <w:jc w:val="center"/>
            </w:pPr>
            <w:r>
              <w:rPr>
                <w:rFonts w:ascii="Calibri" w:cs="Calibri" w:eastAsia="Calibri" w:hAnsi="Calibri"/>
                <w:color w:val="E8A838"/>
                <w:sz w:val="24"/>
                <w:szCs w:val="24"/>
              </w:rPr>
              <w:t xml:space="preserve">OSHA-Compliant Workplace Safety Program</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8"/>
                <w:szCs w:val="8"/>
              </w:rPr>
              <w:t xml:space="preserve"> </w:t>
            </w:r>
          </w:p>
        </w:tc>
      </w:tr>
    </w:tbl>
    <w:p>
      <w:pPr>
        <w:spacing w:after="0" w:before="600"/>
      </w:pPr>
    </w:p>
    <w:p>
      <w:pPr>
        <w:spacing w:after="200" w:before="0"/>
        <w:jc w:val="center"/>
      </w:pPr>
      <w:r>
        <w:rPr>
          <w:rFonts w:ascii="Calibri" w:cs="Calibri" w:eastAsia="Calibri" w:hAnsi="Calibri"/>
          <w:b/>
          <w:bCs/>
          <w:color w:val="1B2A4A"/>
          <w:sz w:val="36"/>
          <w:szCs w:val="36"/>
        </w:rPr>
        <w:t xml:space="preserve">[COMPANY NAME]</w:t>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600"/>
        <w:gridCol w:w="3400"/>
      </w:tblGrid>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Effective Date:</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[DATE]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Revision Number:</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[REV #]</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Prepared By:</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[NAME / TITLE]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Approved By:</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[NAME / TITLE]</w:t>
            </w:r>
          </w:p>
        </w:tc>
      </w:tr>
      <w:tr>
        <w:tc>
          <w:tcPr>
            <w:tcW w:type="dxa" w:w="2600"/>
            <w:tcBorders>
              <w:top w:val="none" w:color="FFFFFF" w:sz="0"/>
              <w:left w:val="none" w:color="FFFFFF" w:sz="0"/>
              <w:bottom w:val="none" w:color="FFFFFF" w:sz="0"/>
              <w:right w:val="none" w:color="FFFFFF" w:sz="0"/>
            </w:tcBorders>
            <w:tcMar>
              <w:top w:type="dxa" w:w="60"/>
              <w:left w:type="dxa" w:w="100"/>
              <w:bottom w:type="dxa" w:w="60"/>
              <w:right w:type="dxa" w:w="100"/>
            </w:tcMar>
          </w:tcPr>
          <w:p>
            <w:pPr>
              <w:jc w:val="right"/>
            </w:pPr>
            <w:r>
              <w:rPr>
                <w:rFonts w:ascii="Calibri" w:cs="Calibri" w:eastAsia="Calibri" w:hAnsi="Calibri"/>
                <w:b/>
                <w:bCs/>
                <w:color w:val="1B2A4A"/>
                <w:sz w:val="22"/>
                <w:szCs w:val="22"/>
              </w:rPr>
              <w:t xml:space="preserve">Approval Date:</w:t>
            </w:r>
          </w:p>
        </w:tc>
        <w:tc>
          <w:tcPr>
            <w:tcW w:type="dxa" w:w="3400"/>
            <w:tcBorders>
              <w:top w:val="none" w:color="FFFFFF" w:sz="0"/>
              <w:left w:val="none" w:color="FFFFFF" w:sz="0"/>
              <w:bottom w:val="single" w:color="D4D4D4" w:sz="1"/>
              <w:right w:val="none" w:color="FFFFFF" w:sz="0"/>
            </w:tcBorders>
            <w:tcMar>
              <w:top w:type="dxa" w:w="60"/>
              <w:left w:type="dxa" w:w="100"/>
              <w:bottom w:type="dxa" w:w="60"/>
              <w:right w:type="dxa" w:w="100"/>
            </w:tcMar>
          </w:tcPr>
          <w:p>
            <w:r>
              <w:rPr>
                <w:rFonts w:ascii="Calibri" w:cs="Calibri" w:eastAsia="Calibri" w:hAnsi="Calibri"/>
                <w:color w:val="666666"/>
                <w:sz w:val="22"/>
                <w:szCs w:val="22"/>
              </w:rPr>
              <w:t xml:space="preserve">[DATE]</w:t>
            </w:r>
          </w:p>
        </w:tc>
      </w:tr>
    </w:tbl>
    <w:p>
      <w:r>
        <w:br w:type="page"/>
      </w:r>
    </w:p>
    <w:p>
      <w:pPr>
        <w:pStyle w:val="Heading1"/>
        <w:spacing w:after="120" w:before="200"/>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40" w:before="360"/>
      </w:pPr>
      <w:r>
        <w:rPr>
          <w:rFonts w:ascii="Calibri" w:cs="Calibri" w:eastAsia="Calibri" w:hAnsi="Calibri"/>
          <w:b/>
          <w:bCs/>
          <w:color w:val="1B2A4A"/>
          <w:sz w:val="32"/>
          <w:szCs w:val="32"/>
        </w:rPr>
        <w:t xml:space="preserve">1. PURPOSE &amp;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The purpose of this Electrical Safety Program is to establish minimum requirements and procedures for protecting [COMPANY NAME] employees from electrical hazards encountered during work activities. This program applies to all employees, contractors, and visitors who may be exposed to electrical hazards at [COMPANY NAME] job sites and facilities.</w:t>
      </w:r>
    </w:p>
    <w:p>
      <w:pPr>
        <w:spacing w:after="80" w:before="80"/>
        <w:jc w:val="left"/>
      </w:pPr>
      <w:r>
        <w:rPr>
          <w:rFonts w:ascii="Calibri" w:cs="Calibri" w:eastAsia="Calibri" w:hAnsi="Calibri"/>
          <w:color w:val="1B2A4A"/>
          <w:sz w:val="22"/>
          <w:szCs w:val="22"/>
        </w:rPr>
        <w:t xml:space="preserve">This program addresses both general industry and construction electrical safety requirements, ensuring compliance with applicable OSHA standards and recognized industry best practices.</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Scope of Application:</w:t>
      </w:r>
      <w:r>
        <w:rPr>
          <w:rFonts w:ascii="Calibri" w:cs="Calibri" w:eastAsia="Calibri" w:hAnsi="Calibri"/>
          <w:color w:val="1B2A4A"/>
          <w:sz w:val="22"/>
          <w:szCs w:val="22"/>
        </w:rPr>
        <w:t xml:space="preserve"/>
      </w:r>
    </w:p>
    <w:p>
      <w:pPr>
        <w:pStyle w:val="ListParagraph"/>
        <w:numPr>
          <w:ilvl w:val="0"/>
          <w:numId w:val="2"/>
        </w:numPr>
        <w:spacing w:after="40" w:before="40"/>
      </w:pPr>
      <w:r>
        <w:rPr>
          <w:rFonts w:ascii="Calibri" w:cs="Calibri" w:eastAsia="Calibri" w:hAnsi="Calibri"/>
          <w:color w:val="1B2A4A"/>
          <w:sz w:val="22"/>
          <w:szCs w:val="22"/>
        </w:rPr>
        <w:t xml:space="preserve">All work performed on or near energized electrical equipment or conductors</w:t>
      </w:r>
    </w:p>
    <w:p>
      <w:pPr>
        <w:pStyle w:val="ListParagraph"/>
        <w:numPr>
          <w:ilvl w:val="0"/>
          <w:numId w:val="2"/>
        </w:numPr>
        <w:spacing w:after="40" w:before="40"/>
      </w:pPr>
      <w:r>
        <w:rPr>
          <w:rFonts w:ascii="Calibri" w:cs="Calibri" w:eastAsia="Calibri" w:hAnsi="Calibri"/>
          <w:color w:val="1B2A4A"/>
          <w:sz w:val="22"/>
          <w:szCs w:val="22"/>
        </w:rPr>
        <w:t xml:space="preserve">Installation, maintenance, and repair of electrical systems</w:t>
      </w:r>
    </w:p>
    <w:p>
      <w:pPr>
        <w:pStyle w:val="ListParagraph"/>
        <w:numPr>
          <w:ilvl w:val="0"/>
          <w:numId w:val="2"/>
        </w:numPr>
        <w:spacing w:after="40" w:before="40"/>
      </w:pPr>
      <w:r>
        <w:rPr>
          <w:rFonts w:ascii="Calibri" w:cs="Calibri" w:eastAsia="Calibri" w:hAnsi="Calibri"/>
          <w:color w:val="1B2A4A"/>
          <w:sz w:val="22"/>
          <w:szCs w:val="22"/>
        </w:rPr>
        <w:t xml:space="preserve">Use of portable electrical equipment and extension cords</w:t>
      </w:r>
    </w:p>
    <w:p>
      <w:pPr>
        <w:pStyle w:val="ListParagraph"/>
        <w:numPr>
          <w:ilvl w:val="0"/>
          <w:numId w:val="2"/>
        </w:numPr>
        <w:spacing w:after="40" w:before="40"/>
      </w:pPr>
      <w:r>
        <w:rPr>
          <w:rFonts w:ascii="Calibri" w:cs="Calibri" w:eastAsia="Calibri" w:hAnsi="Calibri"/>
          <w:color w:val="1B2A4A"/>
          <w:sz w:val="22"/>
          <w:szCs w:val="22"/>
        </w:rPr>
        <w:t xml:space="preserve">Work performed near overhead and underground power lines</w:t>
      </w:r>
    </w:p>
    <w:p>
      <w:pPr>
        <w:pStyle w:val="ListParagraph"/>
        <w:numPr>
          <w:ilvl w:val="0"/>
          <w:numId w:val="2"/>
        </w:numPr>
        <w:spacing w:after="40" w:before="40"/>
      </w:pPr>
      <w:r>
        <w:rPr>
          <w:rFonts w:ascii="Calibri" w:cs="Calibri" w:eastAsia="Calibri" w:hAnsi="Calibri"/>
          <w:color w:val="1B2A4A"/>
          <w:sz w:val="22"/>
          <w:szCs w:val="22"/>
        </w:rPr>
        <w:t xml:space="preserve">Arc flash hazard assessment and mitigation</w:t>
      </w:r>
    </w:p>
    <w:p>
      <w:pPr>
        <w:pStyle w:val="Heading1"/>
        <w:spacing w:after="40" w:before="360"/>
      </w:pPr>
      <w:r>
        <w:rPr>
          <w:rFonts w:ascii="Calibri" w:cs="Calibri" w:eastAsia="Calibri" w:hAnsi="Calibri"/>
          <w:b/>
          <w:bCs/>
          <w:color w:val="1B2A4A"/>
          <w:sz w:val="32"/>
          <w:szCs w:val="32"/>
        </w:rPr>
        <w:t xml:space="preserve">2. REGULATORY REFERENCES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This program is designed to comply with the following regulatory standards: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1910.331–335</w:t>
      </w:r>
      <w:r>
        <w:rPr>
          <w:rFonts w:ascii="Calibri" w:cs="Calibri" w:eastAsia="Calibri" w:hAnsi="Calibri"/>
          <w:color w:val="1B2A4A"/>
          <w:sz w:val="22"/>
          <w:szCs w:val="22"/>
        </w:rPr>
        <w:t xml:space="preserve"> — OSHA General Industry: Electrical Safety-Related Work Practices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1910.301–308</w:t>
      </w:r>
      <w:r>
        <w:rPr>
          <w:rFonts w:ascii="Calibri" w:cs="Calibri" w:eastAsia="Calibri" w:hAnsi="Calibri"/>
          <w:color w:val="1B2A4A"/>
          <w:sz w:val="22"/>
          <w:szCs w:val="22"/>
        </w:rPr>
        <w:t xml:space="preserve"> — OSHA General Industry: Electrical Design Safety Standards</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29 CFR 1926 Subpart K (§1926.400–449)</w:t>
      </w:r>
      <w:r>
        <w:rPr>
          <w:rFonts w:ascii="Calibri" w:cs="Calibri" w:eastAsia="Calibri" w:hAnsi="Calibri"/>
          <w:color w:val="1B2A4A"/>
          <w:sz w:val="22"/>
          <w:szCs w:val="22"/>
        </w:rPr>
        <w:t xml:space="preserve"> — OSHA Construction: Electrical</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NFPA 70E</w:t>
      </w:r>
      <w:r>
        <w:rPr>
          <w:rFonts w:ascii="Calibri" w:cs="Calibri" w:eastAsia="Calibri" w:hAnsi="Calibri"/>
          <w:color w:val="1B2A4A"/>
          <w:sz w:val="22"/>
          <w:szCs w:val="22"/>
        </w:rPr>
        <w:t xml:space="preserve"> — Standard for Electrical Safety in the Workplace (current edition)</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NFPA 70</w:t>
      </w:r>
      <w:r>
        <w:rPr>
          <w:rFonts w:ascii="Calibri" w:cs="Calibri" w:eastAsia="Calibri" w:hAnsi="Calibri"/>
          <w:color w:val="1B2A4A"/>
          <w:sz w:val="22"/>
          <w:szCs w:val="22"/>
        </w:rPr>
        <w:t xml:space="preserve"> — National Electrical Code (NEC)</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ASTM F1506</w:t>
      </w:r>
      <w:r>
        <w:rPr>
          <w:rFonts w:ascii="Calibri" w:cs="Calibri" w:eastAsia="Calibri" w:hAnsi="Calibri"/>
          <w:color w:val="1B2A4A"/>
          <w:sz w:val="22"/>
          <w:szCs w:val="22"/>
        </w:rPr>
        <w:t xml:space="preserve"> — Standard Performance Specification for FR Textile Materials for Wearing Apparel</w:t>
      </w:r>
    </w:p>
    <w:p>
      <w:pPr>
        <w:pStyle w:val="ListParagraph"/>
        <w:numPr>
          <w:ilvl w:val="0"/>
          <w:numId w:val="3"/>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IEEE 1584</w:t>
      </w:r>
      <w:r>
        <w:rPr>
          <w:rFonts w:ascii="Calibri" w:cs="Calibri" w:eastAsia="Calibri" w:hAnsi="Calibri"/>
          <w:color w:val="1B2A4A"/>
          <w:sz w:val="22"/>
          <w:szCs w:val="22"/>
        </w:rPr>
        <w:t xml:space="preserve"> — Guide for Performing Arc Flash Hazard Calculations</w:t>
      </w:r>
    </w:p>
    <w:p>
      <w:pPr>
        <w:pStyle w:val="Heading1"/>
        <w:spacing w:after="40" w:before="360"/>
      </w:pPr>
      <w:r>
        <w:rPr>
          <w:rFonts w:ascii="Calibri" w:cs="Calibri" w:eastAsia="Calibri" w:hAnsi="Calibri"/>
          <w:b/>
          <w:bCs/>
          <w:color w:val="1B2A4A"/>
          <w:sz w:val="32"/>
          <w:szCs w:val="32"/>
        </w:rPr>
        <w:t xml:space="preserve">3. DEFINITIONS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Heading2"/>
        <w:spacing w:after="40" w:before="280"/>
      </w:pPr>
      <w:r>
        <w:rPr>
          <w:rFonts w:ascii="Calibri" w:cs="Calibri" w:eastAsia="Calibri" w:hAnsi="Calibri"/>
          <w:b/>
          <w:bCs/>
          <w:color w:val="1B2A4A"/>
          <w:sz w:val="26"/>
          <w:szCs w:val="26"/>
        </w:rPr>
        <w:t xml:space="preserve">3.1 Qualified Person</w:t>
      </w:r>
    </w:p>
    <w:p>
      <w:pPr>
        <w:spacing w:after="60" w:before="60"/>
      </w:pPr>
    </w:p>
    <w:p>
      <w:pPr>
        <w:spacing w:after="80" w:before="80"/>
        <w:jc w:val="left"/>
      </w:pPr>
      <w:r>
        <w:rPr>
          <w:rFonts w:ascii="Calibri" w:cs="Calibri" w:eastAsia="Calibri" w:hAnsi="Calibri"/>
          <w:color w:val="1B2A4A"/>
          <w:sz w:val="22"/>
          <w:szCs w:val="22"/>
        </w:rPr>
        <w:t xml:space="preserve">An individual who has training and demonstrated skills and knowledge in the construction and operation of electrical equipment and installations, and has received safety training to identify and avoid the hazards involved. A Qualified Person must be able to distinguish exposed live parts, determine nominal voltage, and know the clearance distances required per NFPA 70E.</w:t>
      </w:r>
    </w:p>
    <w:p>
      <w:pPr>
        <w:pStyle w:val="Heading2"/>
        <w:spacing w:after="40" w:before="280"/>
      </w:pPr>
      <w:r>
        <w:rPr>
          <w:rFonts w:ascii="Calibri" w:cs="Calibri" w:eastAsia="Calibri" w:hAnsi="Calibri"/>
          <w:b/>
          <w:bCs/>
          <w:color w:val="1B2A4A"/>
          <w:sz w:val="26"/>
          <w:szCs w:val="26"/>
        </w:rPr>
        <w:t xml:space="preserve">3.2 Unqualified Person</w:t>
      </w:r>
    </w:p>
    <w:p>
      <w:pPr>
        <w:spacing w:after="60" w:before="60"/>
      </w:pPr>
    </w:p>
    <w:p>
      <w:pPr>
        <w:spacing w:after="80" w:before="80"/>
        <w:jc w:val="left"/>
      </w:pPr>
      <w:r>
        <w:rPr>
          <w:rFonts w:ascii="Calibri" w:cs="Calibri" w:eastAsia="Calibri" w:hAnsi="Calibri"/>
          <w:color w:val="1B2A4A"/>
          <w:sz w:val="22"/>
          <w:szCs w:val="22"/>
        </w:rPr>
        <w:t xml:space="preserve">An individual with little or no training regarding electrical hazards. Unqualified persons must be trained in and familiar with any electrically related safety practices necessary for their safety. Unqualified persons shall not approach energized parts closer than the Limited Approach Boundary without the guidance of a Qualified Person.</w:t>
      </w:r>
    </w:p>
    <w:p>
      <w:pPr>
        <w:pStyle w:val="Heading2"/>
        <w:spacing w:after="40" w:before="280"/>
      </w:pPr>
      <w:r>
        <w:rPr>
          <w:rFonts w:ascii="Calibri" w:cs="Calibri" w:eastAsia="Calibri" w:hAnsi="Calibri"/>
          <w:b/>
          <w:bCs/>
          <w:color w:val="1B2A4A"/>
          <w:sz w:val="26"/>
          <w:szCs w:val="26"/>
        </w:rPr>
        <w:t xml:space="preserve">3.3 Approach Boundaries</w:t>
      </w:r>
    </w:p>
    <w:p>
      <w:pPr>
        <w:spacing w:after="60" w:before="60"/>
      </w:pPr>
    </w:p>
    <w:p>
      <w:pPr>
        <w:spacing w:after="80" w:before="80"/>
        <w:jc w:val="left"/>
      </w:pPr>
      <w:r>
        <w:rPr>
          <w:rFonts w:ascii="Calibri" w:cs="Calibri" w:eastAsia="Calibri" w:hAnsi="Calibri"/>
          <w:color w:val="1B2A4A"/>
          <w:sz w:val="22"/>
          <w:szCs w:val="22"/>
        </w:rPr>
        <w:t xml:space="preserve">NFPA 70E defines the following shock protection approach boundaries for AC systems:</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Limited Approach Boundary</w:t>
      </w:r>
      <w:r>
        <w:rPr>
          <w:rFonts w:ascii="Calibri" w:cs="Calibri" w:eastAsia="Calibri" w:hAnsi="Calibri"/>
          <w:color w:val="1B2A4A"/>
          <w:sz w:val="22"/>
          <w:szCs w:val="22"/>
        </w:rPr>
        <w:t xml:space="preserve"> — The distance from an exposed energized conductor within which a shock hazard exists. Unqualified persons may not cross this boundary.</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Restricted Approach Boundary</w:t>
      </w:r>
      <w:r>
        <w:rPr>
          <w:rFonts w:ascii="Calibri" w:cs="Calibri" w:eastAsia="Calibri" w:hAnsi="Calibri"/>
          <w:color w:val="1B2A4A"/>
          <w:sz w:val="22"/>
          <w:szCs w:val="22"/>
        </w:rPr>
        <w:t xml:space="preserve"> — The distance from an exposed energized conductor within which there is an increased likelihood of electric shock. Only Qualified Persons wearing appropriate PPE may cross this boundary.</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Prohibited Approach Boundary</w:t>
      </w:r>
      <w:r>
        <w:rPr>
          <w:rFonts w:ascii="Calibri" w:cs="Calibri" w:eastAsia="Calibri" w:hAnsi="Calibri"/>
          <w:color w:val="1B2A4A"/>
          <w:sz w:val="22"/>
          <w:szCs w:val="22"/>
        </w:rPr>
        <w:t xml:space="preserve"> — The distance from an exposed energized conductor within which work is considered the same as making contact with the conductor. Crossing this boundary requires the same PPE and procedures as direct contact.</w:t>
      </w:r>
    </w:p>
    <w:p>
      <w:pPr>
        <w:pStyle w:val="ListParagraph"/>
        <w:numPr>
          <w:ilvl w:val="0"/>
          <w:numId w:val="4"/>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Arc Flash Boundary</w:t>
      </w:r>
      <w:r>
        <w:rPr>
          <w:rFonts w:ascii="Calibri" w:cs="Calibri" w:eastAsia="Calibri" w:hAnsi="Calibri"/>
          <w:color w:val="1B2A4A"/>
          <w:sz w:val="22"/>
          <w:szCs w:val="22"/>
        </w:rPr>
        <w:t xml:space="preserve"> — The distance from an arc source at which incident energy equals 1.2 cal/cm² (the threshold for a second-degree burn).</w:t>
      </w:r>
    </w:p>
    <w:p>
      <w:pPr>
        <w:pStyle w:val="Heading1"/>
        <w:spacing w:after="40" w:before="360"/>
      </w:pPr>
      <w:r>
        <w:rPr>
          <w:rFonts w:ascii="Calibri" w:cs="Calibri" w:eastAsia="Calibri" w:hAnsi="Calibri"/>
          <w:b/>
          <w:bCs/>
          <w:color w:val="1B2A4A"/>
          <w:sz w:val="32"/>
          <w:szCs w:val="32"/>
        </w:rPr>
        <w:t xml:space="preserve">4. ROLES &amp;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Heading2"/>
        <w:spacing w:after="40" w:before="280"/>
      </w:pPr>
      <w:r>
        <w:rPr>
          <w:rFonts w:ascii="Calibri" w:cs="Calibri" w:eastAsia="Calibri" w:hAnsi="Calibri"/>
          <w:b/>
          <w:bCs/>
          <w:color w:val="1B2A4A"/>
          <w:sz w:val="26"/>
          <w:szCs w:val="26"/>
        </w:rPr>
        <w:t xml:space="preserve">4.1 Management / Employer</w:t>
      </w:r>
    </w:p>
    <w:p>
      <w:pPr>
        <w:spacing w:after="60" w:before="60"/>
      </w:pPr>
    </w:p>
    <w:p>
      <w:pPr>
        <w:pStyle w:val="ListParagraph"/>
        <w:numPr>
          <w:ilvl w:val="0"/>
          <w:numId w:val="5"/>
        </w:numPr>
        <w:spacing w:after="40" w:before="40"/>
      </w:pPr>
      <w:r>
        <w:rPr>
          <w:rFonts w:ascii="Calibri" w:cs="Calibri" w:eastAsia="Calibri" w:hAnsi="Calibri"/>
          <w:color w:val="1B2A4A"/>
          <w:sz w:val="22"/>
          <w:szCs w:val="22"/>
        </w:rPr>
        <w:t xml:space="preserve">Provide adequate resources for implementation and maintenance of this program</w:t>
      </w:r>
    </w:p>
    <w:p>
      <w:pPr>
        <w:pStyle w:val="ListParagraph"/>
        <w:numPr>
          <w:ilvl w:val="0"/>
          <w:numId w:val="5"/>
        </w:numPr>
        <w:spacing w:after="40" w:before="40"/>
      </w:pPr>
      <w:r>
        <w:rPr>
          <w:rFonts w:ascii="Calibri" w:cs="Calibri" w:eastAsia="Calibri" w:hAnsi="Calibri"/>
          <w:color w:val="1B2A4A"/>
          <w:sz w:val="22"/>
          <w:szCs w:val="22"/>
        </w:rPr>
        <w:t xml:space="preserve">Ensure an arc flash hazard analysis is performed and labels are applied to equipment</w:t>
      </w:r>
    </w:p>
    <w:p>
      <w:pPr>
        <w:pStyle w:val="ListParagraph"/>
        <w:numPr>
          <w:ilvl w:val="0"/>
          <w:numId w:val="5"/>
        </w:numPr>
        <w:spacing w:after="40" w:before="40"/>
      </w:pPr>
      <w:r>
        <w:rPr>
          <w:rFonts w:ascii="Calibri" w:cs="Calibri" w:eastAsia="Calibri" w:hAnsi="Calibri"/>
          <w:color w:val="1B2A4A"/>
          <w:sz w:val="22"/>
          <w:szCs w:val="22"/>
        </w:rPr>
        <w:t xml:space="preserve">Provide appropriate PPE and ensure it is maintained in safe, reliable condition</w:t>
      </w:r>
    </w:p>
    <w:p>
      <w:pPr>
        <w:pStyle w:val="ListParagraph"/>
        <w:numPr>
          <w:ilvl w:val="0"/>
          <w:numId w:val="5"/>
        </w:numPr>
        <w:spacing w:after="40" w:before="40"/>
      </w:pPr>
      <w:r>
        <w:rPr>
          <w:rFonts w:ascii="Calibri" w:cs="Calibri" w:eastAsia="Calibri" w:hAnsi="Calibri"/>
          <w:color w:val="1B2A4A"/>
          <w:sz w:val="22"/>
          <w:szCs w:val="22"/>
        </w:rPr>
        <w:t xml:space="preserve">Ensure only Qualified Persons perform work on energized electrical equipment</w:t>
      </w:r>
    </w:p>
    <w:p>
      <w:pPr>
        <w:pStyle w:val="ListParagraph"/>
        <w:numPr>
          <w:ilvl w:val="0"/>
          <w:numId w:val="5"/>
        </w:numPr>
        <w:spacing w:after="40" w:before="40"/>
      </w:pPr>
      <w:r>
        <w:rPr>
          <w:rFonts w:ascii="Calibri" w:cs="Calibri" w:eastAsia="Calibri" w:hAnsi="Calibri"/>
          <w:color w:val="1B2A4A"/>
          <w:sz w:val="22"/>
          <w:szCs w:val="22"/>
        </w:rPr>
        <w:t xml:space="preserve">Maintain and make available all required safety documentation and permits</w:t>
      </w:r>
    </w:p>
    <w:p>
      <w:pPr>
        <w:pStyle w:val="Heading2"/>
        <w:spacing w:after="40" w:before="280"/>
      </w:pPr>
      <w:r>
        <w:rPr>
          <w:rFonts w:ascii="Calibri" w:cs="Calibri" w:eastAsia="Calibri" w:hAnsi="Calibri"/>
          <w:b/>
          <w:bCs/>
          <w:color w:val="1B2A4A"/>
          <w:sz w:val="26"/>
          <w:szCs w:val="26"/>
        </w:rPr>
        <w:t xml:space="preserve">4.2 Safety Manager</w:t>
      </w:r>
    </w:p>
    <w:p>
      <w:pPr>
        <w:spacing w:after="60" w:before="60"/>
      </w:pPr>
    </w:p>
    <w:p>
      <w:pPr>
        <w:pStyle w:val="ListParagraph"/>
        <w:numPr>
          <w:ilvl w:val="0"/>
          <w:numId w:val="6"/>
        </w:numPr>
        <w:spacing w:after="40" w:before="40"/>
      </w:pPr>
      <w:r>
        <w:rPr>
          <w:rFonts w:ascii="Calibri" w:cs="Calibri" w:eastAsia="Calibri" w:hAnsi="Calibri"/>
          <w:color w:val="1B2A4A"/>
          <w:sz w:val="22"/>
          <w:szCs w:val="22"/>
        </w:rPr>
        <w:t xml:space="preserve">Administer this Electrical Safety Program and ensure compliance</w:t>
      </w:r>
    </w:p>
    <w:p>
      <w:pPr>
        <w:pStyle w:val="ListParagraph"/>
        <w:numPr>
          <w:ilvl w:val="0"/>
          <w:numId w:val="6"/>
        </w:numPr>
        <w:spacing w:after="40" w:before="40"/>
      </w:pPr>
      <w:r>
        <w:rPr>
          <w:rFonts w:ascii="Calibri" w:cs="Calibri" w:eastAsia="Calibri" w:hAnsi="Calibri"/>
          <w:color w:val="1B2A4A"/>
          <w:sz w:val="22"/>
          <w:szCs w:val="22"/>
        </w:rPr>
        <w:t xml:space="preserve">Conduct periodic audits of electrical safety practices (at least annually)</w:t>
      </w:r>
    </w:p>
    <w:p>
      <w:pPr>
        <w:pStyle w:val="ListParagraph"/>
        <w:numPr>
          <w:ilvl w:val="0"/>
          <w:numId w:val="6"/>
        </w:numPr>
        <w:spacing w:after="40" w:before="40"/>
      </w:pPr>
      <w:r>
        <w:rPr>
          <w:rFonts w:ascii="Calibri" w:cs="Calibri" w:eastAsia="Calibri" w:hAnsi="Calibri"/>
          <w:color w:val="1B2A4A"/>
          <w:sz w:val="22"/>
          <w:szCs w:val="22"/>
        </w:rPr>
        <w:t xml:space="preserve">Review and approve all Energized Electrical Work Permits</w:t>
      </w:r>
    </w:p>
    <w:p>
      <w:pPr>
        <w:pStyle w:val="ListParagraph"/>
        <w:numPr>
          <w:ilvl w:val="0"/>
          <w:numId w:val="6"/>
        </w:numPr>
        <w:spacing w:after="40" w:before="40"/>
      </w:pPr>
      <w:r>
        <w:rPr>
          <w:rFonts w:ascii="Calibri" w:cs="Calibri" w:eastAsia="Calibri" w:hAnsi="Calibri"/>
          <w:color w:val="1B2A4A"/>
          <w:sz w:val="22"/>
          <w:szCs w:val="22"/>
        </w:rPr>
        <w:t xml:space="preserve">Investigate all electrical incidents and near-misses</w:t>
      </w:r>
    </w:p>
    <w:p>
      <w:pPr>
        <w:pStyle w:val="ListParagraph"/>
        <w:numPr>
          <w:ilvl w:val="0"/>
          <w:numId w:val="6"/>
        </w:numPr>
        <w:spacing w:after="40" w:before="40"/>
      </w:pPr>
      <w:r>
        <w:rPr>
          <w:rFonts w:ascii="Calibri" w:cs="Calibri" w:eastAsia="Calibri" w:hAnsi="Calibri"/>
          <w:color w:val="1B2A4A"/>
          <w:sz w:val="22"/>
          <w:szCs w:val="22"/>
        </w:rPr>
        <w:t xml:space="preserve">Coordinate training programs for Qualified and Unqualified Persons</w:t>
      </w:r>
    </w:p>
    <w:p>
      <w:pPr>
        <w:pStyle w:val="Heading2"/>
        <w:spacing w:after="40" w:before="280"/>
      </w:pPr>
      <w:r>
        <w:rPr>
          <w:rFonts w:ascii="Calibri" w:cs="Calibri" w:eastAsia="Calibri" w:hAnsi="Calibri"/>
          <w:b/>
          <w:bCs/>
          <w:color w:val="1B2A4A"/>
          <w:sz w:val="26"/>
          <w:szCs w:val="26"/>
        </w:rPr>
        <w:t xml:space="preserve">4.3 Qualified Persons / Employees</w:t>
      </w:r>
    </w:p>
    <w:p>
      <w:pPr>
        <w:spacing w:after="60" w:before="60"/>
      </w:pPr>
    </w:p>
    <w:p>
      <w:pPr>
        <w:pStyle w:val="ListParagraph"/>
        <w:numPr>
          <w:ilvl w:val="0"/>
          <w:numId w:val="7"/>
        </w:numPr>
        <w:spacing w:after="40" w:before="40"/>
      </w:pPr>
      <w:r>
        <w:rPr>
          <w:rFonts w:ascii="Calibri" w:cs="Calibri" w:eastAsia="Calibri" w:hAnsi="Calibri"/>
          <w:color w:val="1B2A4A"/>
          <w:sz w:val="22"/>
          <w:szCs w:val="22"/>
        </w:rPr>
        <w:t xml:space="preserve">Follow all established electrical safety work practices and procedures</w:t>
      </w:r>
    </w:p>
    <w:p>
      <w:pPr>
        <w:pStyle w:val="ListParagraph"/>
        <w:numPr>
          <w:ilvl w:val="0"/>
          <w:numId w:val="7"/>
        </w:numPr>
        <w:spacing w:after="40" w:before="40"/>
      </w:pPr>
      <w:r>
        <w:rPr>
          <w:rFonts w:ascii="Calibri" w:cs="Calibri" w:eastAsia="Calibri" w:hAnsi="Calibri"/>
          <w:color w:val="1B2A4A"/>
          <w:sz w:val="22"/>
          <w:szCs w:val="22"/>
        </w:rPr>
        <w:t xml:space="preserve">Inspect tools, equipment, and PPE before each use</w:t>
      </w:r>
    </w:p>
    <w:p>
      <w:pPr>
        <w:pStyle w:val="ListParagraph"/>
        <w:numPr>
          <w:ilvl w:val="0"/>
          <w:numId w:val="7"/>
        </w:numPr>
        <w:spacing w:after="40" w:before="40"/>
      </w:pPr>
      <w:r>
        <w:rPr>
          <w:rFonts w:ascii="Calibri" w:cs="Calibri" w:eastAsia="Calibri" w:hAnsi="Calibri"/>
          <w:color w:val="1B2A4A"/>
          <w:sz w:val="22"/>
          <w:szCs w:val="22"/>
        </w:rPr>
        <w:t xml:space="preserve">Report unsafe conditions, damaged equipment, and near-misses immediately</w:t>
      </w:r>
    </w:p>
    <w:p>
      <w:pPr>
        <w:pStyle w:val="ListParagraph"/>
        <w:numPr>
          <w:ilvl w:val="0"/>
          <w:numId w:val="7"/>
        </w:numPr>
        <w:spacing w:after="40" w:before="40"/>
      </w:pPr>
      <w:r>
        <w:rPr>
          <w:rFonts w:ascii="Calibri" w:cs="Calibri" w:eastAsia="Calibri" w:hAnsi="Calibri"/>
          <w:color w:val="1B2A4A"/>
          <w:sz w:val="22"/>
          <w:szCs w:val="22"/>
        </w:rPr>
        <w:t xml:space="preserve">Maintain current training qualifications</w:t>
      </w:r>
    </w:p>
    <w:p>
      <w:pPr>
        <w:pStyle w:val="ListParagraph"/>
        <w:numPr>
          <w:ilvl w:val="0"/>
          <w:numId w:val="7"/>
        </w:numPr>
        <w:spacing w:after="40" w:before="40"/>
      </w:pPr>
      <w:r>
        <w:rPr>
          <w:rFonts w:ascii="Calibri" w:cs="Calibri" w:eastAsia="Calibri" w:hAnsi="Calibri"/>
          <w:color w:val="1B2A4A"/>
          <w:sz w:val="22"/>
          <w:szCs w:val="22"/>
        </w:rPr>
        <w:t xml:space="preserve">Participate in all required safety training</w:t>
      </w:r>
    </w:p>
    <w:p>
      <w:pPr>
        <w:pStyle w:val="Heading1"/>
        <w:spacing w:after="40" w:before="360"/>
      </w:pPr>
      <w:r>
        <w:rPr>
          <w:rFonts w:ascii="Calibri" w:cs="Calibri" w:eastAsia="Calibri" w:hAnsi="Calibri"/>
          <w:b/>
          <w:bCs/>
          <w:color w:val="1B2A4A"/>
          <w:sz w:val="32"/>
          <w:szCs w:val="32"/>
        </w:rPr>
        <w:t xml:space="preserve">5. PROGRAM PROCEDURES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pStyle w:val="Heading2"/>
        <w:spacing w:after="40" w:before="280"/>
      </w:pPr>
      <w:r>
        <w:rPr>
          <w:rFonts w:ascii="Calibri" w:cs="Calibri" w:eastAsia="Calibri" w:hAnsi="Calibri"/>
          <w:b/>
          <w:bCs/>
          <w:color w:val="1B2A4A"/>
          <w:sz w:val="26"/>
          <w:szCs w:val="26"/>
        </w:rPr>
        <w:t xml:space="preserve">5.1 Energized Electrical Work Permit</w:t>
      </w:r>
    </w:p>
    <w:p>
      <w:pPr>
        <w:spacing w:after="60" w:before="60"/>
      </w:pPr>
    </w:p>
    <w:p>
      <w:pPr>
        <w:spacing w:after="80" w:before="80"/>
        <w:jc w:val="left"/>
      </w:pPr>
      <w:r>
        <w:rPr>
          <w:rFonts w:ascii="Calibri" w:cs="Calibri" w:eastAsia="Calibri" w:hAnsi="Calibri"/>
          <w:color w:val="1B2A4A"/>
          <w:sz w:val="22"/>
          <w:szCs w:val="22"/>
        </w:rPr>
        <w:t xml:space="preserve">All work on energized electrical conductors or circuit parts operating at 50 volts or more shall be de-energized before work begins, unless one of the following conditions applies:</w:t>
      </w:r>
    </w:p>
    <w:p>
      <w:pPr>
        <w:pStyle w:val="ListParagraph"/>
        <w:numPr>
          <w:ilvl w:val="0"/>
          <w:numId w:val="8"/>
        </w:numPr>
        <w:spacing w:after="40" w:before="40"/>
      </w:pPr>
      <w:r>
        <w:rPr>
          <w:rFonts w:ascii="Calibri" w:cs="Calibri" w:eastAsia="Calibri" w:hAnsi="Calibri"/>
          <w:color w:val="1B2A4A"/>
          <w:sz w:val="22"/>
          <w:szCs w:val="22"/>
        </w:rPr>
        <w:t xml:space="preserve">De-energization introduces additional or increased hazards (e.g., loss of ventilation in a hazardous location, deactivation of emergency systems)</w:t>
      </w:r>
    </w:p>
    <w:p>
      <w:pPr>
        <w:pStyle w:val="ListParagraph"/>
        <w:numPr>
          <w:ilvl w:val="0"/>
          <w:numId w:val="8"/>
        </w:numPr>
        <w:spacing w:after="40" w:before="40"/>
      </w:pPr>
      <w:r>
        <w:rPr>
          <w:rFonts w:ascii="Calibri" w:cs="Calibri" w:eastAsia="Calibri" w:hAnsi="Calibri"/>
          <w:color w:val="1B2A4A"/>
          <w:sz w:val="22"/>
          <w:szCs w:val="22"/>
        </w:rPr>
        <w:t xml:space="preserve">De-energization is infeasible due to equipment design or operational limitations</w:t>
      </w:r>
    </w:p>
    <w:p>
      <w:pPr>
        <w:spacing w:after="80" w:before="80"/>
        <w:jc w:val="left"/>
      </w:pPr>
      <w:r>
        <w:rPr>
          <w:rFonts w:ascii="Calibri" w:cs="Calibri" w:eastAsia="Calibri" w:hAnsi="Calibri"/>
          <w:color w:val="1B2A4A"/>
          <w:sz w:val="22"/>
          <w:szCs w:val="22"/>
        </w:rPr>
        <w:t xml:space="preserve">When energized work is justified, an </w:t>
      </w:r>
      <w:r>
        <w:rPr>
          <w:rFonts w:ascii="Calibri" w:cs="Calibri" w:eastAsia="Calibri" w:hAnsi="Calibri"/>
          <w:b/>
          <w:bCs/>
          <w:color w:val="1B2A4A"/>
          <w:sz w:val="22"/>
          <w:szCs w:val="22"/>
        </w:rPr>
        <w:t xml:space="preserve">Energized Electrical Work Permit</w:t>
      </w:r>
      <w:r>
        <w:rPr>
          <w:rFonts w:ascii="Calibri" w:cs="Calibri" w:eastAsia="Calibri" w:hAnsi="Calibri"/>
          <w:color w:val="1B2A4A"/>
          <w:sz w:val="22"/>
          <w:szCs w:val="22"/>
        </w:rPr>
        <w:t xml:space="preserve"> (see Appendix A) must be completed and approved by the Safety Manager before work begins. The permit must document:</w:t>
      </w:r>
    </w:p>
    <w:p>
      <w:pPr>
        <w:pStyle w:val="ListParagraph"/>
        <w:numPr>
          <w:ilvl w:val="0"/>
          <w:numId w:val="9"/>
        </w:numPr>
        <w:spacing w:after="40" w:before="40"/>
      </w:pPr>
      <w:r>
        <w:rPr>
          <w:rFonts w:ascii="Calibri" w:cs="Calibri" w:eastAsia="Calibri" w:hAnsi="Calibri"/>
          <w:color w:val="1B2A4A"/>
          <w:sz w:val="22"/>
          <w:szCs w:val="22"/>
        </w:rPr>
        <w:t xml:space="preserve">Description and location of the circuit/equipment</w:t>
      </w:r>
    </w:p>
    <w:p>
      <w:pPr>
        <w:pStyle w:val="ListParagraph"/>
        <w:numPr>
          <w:ilvl w:val="0"/>
          <w:numId w:val="9"/>
        </w:numPr>
        <w:spacing w:after="40" w:before="40"/>
      </w:pPr>
      <w:r>
        <w:rPr>
          <w:rFonts w:ascii="Calibri" w:cs="Calibri" w:eastAsia="Calibri" w:hAnsi="Calibri"/>
          <w:color w:val="1B2A4A"/>
          <w:sz w:val="22"/>
          <w:szCs w:val="22"/>
        </w:rPr>
        <w:t xml:space="preserve">Justification for why the work must be performed energized</w:t>
      </w:r>
    </w:p>
    <w:p>
      <w:pPr>
        <w:pStyle w:val="ListParagraph"/>
        <w:numPr>
          <w:ilvl w:val="0"/>
          <w:numId w:val="9"/>
        </w:numPr>
        <w:spacing w:after="40" w:before="40"/>
      </w:pPr>
      <w:r>
        <w:rPr>
          <w:rFonts w:ascii="Calibri" w:cs="Calibri" w:eastAsia="Calibri" w:hAnsi="Calibri"/>
          <w:color w:val="1B2A4A"/>
          <w:sz w:val="22"/>
          <w:szCs w:val="22"/>
        </w:rPr>
        <w:t xml:space="preserve">Shock and arc flash hazard analysis results</w:t>
      </w:r>
    </w:p>
    <w:p>
      <w:pPr>
        <w:pStyle w:val="ListParagraph"/>
        <w:numPr>
          <w:ilvl w:val="0"/>
          <w:numId w:val="9"/>
        </w:numPr>
        <w:spacing w:after="40" w:before="40"/>
      </w:pPr>
      <w:r>
        <w:rPr>
          <w:rFonts w:ascii="Calibri" w:cs="Calibri" w:eastAsia="Calibri" w:hAnsi="Calibri"/>
          <w:color w:val="1B2A4A"/>
          <w:sz w:val="22"/>
          <w:szCs w:val="22"/>
        </w:rPr>
        <w:t xml:space="preserve">Safe work practices to be employed</w:t>
      </w:r>
    </w:p>
    <w:p>
      <w:pPr>
        <w:pStyle w:val="ListParagraph"/>
        <w:numPr>
          <w:ilvl w:val="0"/>
          <w:numId w:val="9"/>
        </w:numPr>
        <w:spacing w:after="40" w:before="40"/>
      </w:pPr>
      <w:r>
        <w:rPr>
          <w:rFonts w:ascii="Calibri" w:cs="Calibri" w:eastAsia="Calibri" w:hAnsi="Calibri"/>
          <w:color w:val="1B2A4A"/>
          <w:sz w:val="22"/>
          <w:szCs w:val="22"/>
        </w:rPr>
        <w:t xml:space="preserve">Required PPE for each task</w:t>
      </w:r>
    </w:p>
    <w:p>
      <w:pPr>
        <w:pStyle w:val="ListParagraph"/>
        <w:numPr>
          <w:ilvl w:val="0"/>
          <w:numId w:val="9"/>
        </w:numPr>
        <w:spacing w:after="40" w:before="40"/>
      </w:pPr>
      <w:r>
        <w:rPr>
          <w:rFonts w:ascii="Calibri" w:cs="Calibri" w:eastAsia="Calibri" w:hAnsi="Calibri"/>
          <w:color w:val="1B2A4A"/>
          <w:sz w:val="22"/>
          <w:szCs w:val="22"/>
        </w:rPr>
        <w:t xml:space="preserve">Means of restricting access to the work area</w:t>
      </w:r>
    </w:p>
    <w:p>
      <w:pPr>
        <w:pStyle w:val="ListParagraph"/>
        <w:numPr>
          <w:ilvl w:val="0"/>
          <w:numId w:val="9"/>
        </w:numPr>
        <w:spacing w:after="40" w:before="40"/>
      </w:pPr>
      <w:r>
        <w:rPr>
          <w:rFonts w:ascii="Calibri" w:cs="Calibri" w:eastAsia="Calibri" w:hAnsi="Calibri"/>
          <w:color w:val="1B2A4A"/>
          <w:sz w:val="22"/>
          <w:szCs w:val="22"/>
        </w:rPr>
        <w:t xml:space="preserve">Evidence of job briefing completion</w:t>
      </w:r>
    </w:p>
    <w:p>
      <w:pPr>
        <w:pStyle w:val="Heading2"/>
        <w:spacing w:after="40" w:before="280"/>
      </w:pPr>
      <w:r>
        <w:rPr>
          <w:rFonts w:ascii="Calibri" w:cs="Calibri" w:eastAsia="Calibri" w:hAnsi="Calibri"/>
          <w:b/>
          <w:bCs/>
          <w:color w:val="1B2A4A"/>
          <w:sz w:val="26"/>
          <w:szCs w:val="26"/>
        </w:rPr>
        <w:t xml:space="preserve">5.2 De-Energization (Lockout/Tagout) Procedures</w:t>
      </w:r>
    </w:p>
    <w:p>
      <w:pPr>
        <w:spacing w:after="60" w:before="60"/>
      </w:pPr>
    </w:p>
    <w:p>
      <w:pPr>
        <w:spacing w:after="80" w:before="80"/>
        <w:jc w:val="left"/>
      </w:pPr>
      <w:r>
        <w:rPr>
          <w:rFonts w:ascii="Calibri" w:cs="Calibri" w:eastAsia="Calibri" w:hAnsi="Calibri"/>
          <w:color w:val="1B2A4A"/>
          <w:sz w:val="22"/>
          <w:szCs w:val="22"/>
        </w:rPr>
        <w:t xml:space="preserve">The following steps shall be followed for de-energizing electrical equipment:</w:t>
      </w:r>
    </w:p>
    <w:p>
      <w:pPr>
        <w:pStyle w:val="ListParagraph"/>
        <w:numPr>
          <w:ilvl w:val="0"/>
          <w:numId w:val="10"/>
        </w:numPr>
        <w:spacing w:after="40" w:before="40"/>
      </w:pPr>
      <w:r>
        <w:rPr>
          <w:rFonts w:ascii="Calibri" w:cs="Calibri" w:eastAsia="Calibri" w:hAnsi="Calibri"/>
          <w:color w:val="1B2A4A"/>
          <w:sz w:val="22"/>
          <w:szCs w:val="22"/>
        </w:rPr>
        <w:t xml:space="preserve">Identify all sources of electrical energy and the means of disconnecting them.</w:t>
      </w:r>
    </w:p>
    <w:p>
      <w:pPr>
        <w:pStyle w:val="ListParagraph"/>
        <w:numPr>
          <w:ilvl w:val="0"/>
          <w:numId w:val="10"/>
        </w:numPr>
        <w:spacing w:after="40" w:before="40"/>
      </w:pPr>
      <w:r>
        <w:rPr>
          <w:rFonts w:ascii="Calibri" w:cs="Calibri" w:eastAsia="Calibri" w:hAnsi="Calibri"/>
          <w:color w:val="1B2A4A"/>
          <w:sz w:val="22"/>
          <w:szCs w:val="22"/>
        </w:rPr>
        <w:t xml:space="preserve">Notify all affected personnel that equipment will be de-energized.</w:t>
      </w:r>
    </w:p>
    <w:p>
      <w:pPr>
        <w:pStyle w:val="ListParagraph"/>
        <w:numPr>
          <w:ilvl w:val="0"/>
          <w:numId w:val="10"/>
        </w:numPr>
        <w:spacing w:after="40" w:before="40"/>
      </w:pPr>
      <w:r>
        <w:rPr>
          <w:rFonts w:ascii="Calibri" w:cs="Calibri" w:eastAsia="Calibri" w:hAnsi="Calibri"/>
          <w:color w:val="1B2A4A"/>
          <w:sz w:val="22"/>
          <w:szCs w:val="22"/>
        </w:rPr>
        <w:t xml:space="preserve">Load the equipment/circuit, if applicable, before disconnecting.</w:t>
      </w:r>
    </w:p>
    <w:p>
      <w:pPr>
        <w:pStyle w:val="ListParagraph"/>
        <w:numPr>
          <w:ilvl w:val="0"/>
          <w:numId w:val="10"/>
        </w:numPr>
        <w:spacing w:after="40" w:before="40"/>
      </w:pPr>
      <w:r>
        <w:rPr>
          <w:rFonts w:ascii="Calibri" w:cs="Calibri" w:eastAsia="Calibri" w:hAnsi="Calibri"/>
          <w:color w:val="1B2A4A"/>
          <w:sz w:val="22"/>
          <w:szCs w:val="22"/>
        </w:rPr>
        <w:t xml:space="preserve">Open the disconnecting device(s) for each source of energy.</w:t>
      </w:r>
    </w:p>
    <w:p>
      <w:pPr>
        <w:pStyle w:val="ListParagraph"/>
        <w:numPr>
          <w:ilvl w:val="0"/>
          <w:numId w:val="10"/>
        </w:numPr>
        <w:spacing w:after="40" w:before="40"/>
      </w:pPr>
      <w:r>
        <w:rPr>
          <w:rFonts w:ascii="Calibri" w:cs="Calibri" w:eastAsia="Calibri" w:hAnsi="Calibri"/>
          <w:color w:val="1B2A4A"/>
          <w:sz w:val="22"/>
          <w:szCs w:val="22"/>
        </w:rPr>
        <w:t xml:space="preserve">Apply lockout/tagout devices per [COMPANY NAME]'s LOTO program.</w:t>
      </w:r>
    </w:p>
    <w:p>
      <w:pPr>
        <w:pStyle w:val="ListParagraph"/>
        <w:numPr>
          <w:ilvl w:val="0"/>
          <w:numId w:val="10"/>
        </w:numPr>
        <w:spacing w:after="40" w:before="40"/>
      </w:pPr>
      <w:r>
        <w:rPr>
          <w:rFonts w:ascii="Calibri" w:cs="Calibri" w:eastAsia="Calibri" w:hAnsi="Calibri"/>
          <w:color w:val="1B2A4A"/>
          <w:sz w:val="22"/>
          <w:szCs w:val="22"/>
        </w:rPr>
        <w:t xml:space="preserve">Verify the equipment is de-energized using an appropriately rated voltage testing device. Test the tester before and after use on a known live source.</w:t>
      </w:r>
    </w:p>
    <w:p>
      <w:pPr>
        <w:pStyle w:val="ListParagraph"/>
        <w:numPr>
          <w:ilvl w:val="0"/>
          <w:numId w:val="10"/>
        </w:numPr>
        <w:spacing w:after="40" w:before="40"/>
      </w:pPr>
      <w:r>
        <w:rPr>
          <w:rFonts w:ascii="Calibri" w:cs="Calibri" w:eastAsia="Calibri" w:hAnsi="Calibri"/>
          <w:color w:val="1B2A4A"/>
          <w:sz w:val="22"/>
          <w:szCs w:val="22"/>
        </w:rPr>
        <w:t xml:space="preserve">Ground all phase conductors if there is a possibility of induced voltage or stored electrical energy.</w:t>
      </w:r>
    </w:p>
    <w:p>
      <w:pPr>
        <w:pStyle w:val="ListParagraph"/>
        <w:numPr>
          <w:ilvl w:val="0"/>
          <w:numId w:val="10"/>
        </w:numPr>
        <w:spacing w:after="40" w:before="40"/>
      </w:pPr>
      <w:r>
        <w:rPr>
          <w:rFonts w:ascii="Calibri" w:cs="Calibri" w:eastAsia="Calibri" w:hAnsi="Calibri"/>
          <w:color w:val="1B2A4A"/>
          <w:sz w:val="22"/>
          <w:szCs w:val="22"/>
        </w:rPr>
        <w:t xml:space="preserve">Perform work only after all steps are complete and verified.</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Re-Energization:</w:t>
      </w:r>
      <w:r>
        <w:rPr>
          <w:rFonts w:ascii="Calibri" w:cs="Calibri" w:eastAsia="Calibri" w:hAnsi="Calibri"/>
          <w:color w:val="1B2A4A"/>
          <w:sz w:val="22"/>
          <w:szCs w:val="22"/>
        </w:rPr>
        <w:t xml:space="preserve"> Before circuits or equipment are re-energized, conduct visual inspection to ensure all tools, test equipment, and personnel are clear. Remove lockout/tagout devices. Notify affected personnel before energizing.</w:t>
      </w:r>
    </w:p>
    <w:p>
      <w:pPr>
        <w:pStyle w:val="Heading2"/>
        <w:spacing w:after="40" w:before="280"/>
      </w:pPr>
      <w:r>
        <w:rPr>
          <w:rFonts w:ascii="Calibri" w:cs="Calibri" w:eastAsia="Calibri" w:hAnsi="Calibri"/>
          <w:b/>
          <w:bCs/>
          <w:color w:val="1B2A4A"/>
          <w:sz w:val="26"/>
          <w:szCs w:val="26"/>
        </w:rPr>
        <w:t xml:space="preserve">5.3 PPE Categories and Arc Flash PPE Table</w:t>
      </w:r>
    </w:p>
    <w:p>
      <w:pPr>
        <w:spacing w:after="60" w:before="60"/>
      </w:pPr>
    </w:p>
    <w:p>
      <w:pPr>
        <w:spacing w:after="80" w:before="80"/>
        <w:jc w:val="left"/>
      </w:pPr>
      <w:r>
        <w:rPr>
          <w:rFonts w:ascii="Calibri" w:cs="Calibri" w:eastAsia="Calibri" w:hAnsi="Calibri"/>
          <w:color w:val="1B2A4A"/>
          <w:sz w:val="22"/>
          <w:szCs w:val="22"/>
        </w:rPr>
        <w:t xml:space="preserve">The following table outlines the minimum PPE requirements for each arc flash PPE Category per NFPA 70E: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500"/>
        <w:gridCol w:w="6360"/>
      </w:tblGrid>
      <w:tr>
        <w:trPr>
          <w:tblHeader/>
        </w:trPr>
        <w:tc>
          <w:tcPr>
            <w:tcW w:type="dxa" w:w="15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PPE Category</w:t>
            </w:r>
          </w:p>
        </w:tc>
        <w:tc>
          <w:tcPr>
            <w:tcW w:type="dxa" w:w="150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Cal/cm² Rating</w:t>
            </w:r>
          </w:p>
        </w:tc>
        <w:tc>
          <w:tcPr>
            <w:tcW w:type="dxa" w:w="636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Required PPE</w:t>
            </w:r>
          </w:p>
        </w:tc>
      </w:tr>
      <w:tr>
        <w:tc>
          <w:tcPr>
            <w:tcW w:type="dxa" w:w="15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CAT 1</w:t>
            </w:r>
          </w:p>
        </w:tc>
        <w:tc>
          <w:tcPr>
            <w:tcW w:type="dxa" w:w="15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4 cal/cm²</w:t>
            </w:r>
          </w:p>
        </w:tc>
        <w:tc>
          <w:tcPr>
            <w:tcW w:type="dxa" w:w="63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18"/>
                <w:szCs w:val="18"/>
              </w:rPr>
              <w:t xml:space="preserve">Arc-rated long-sleeve shirt and pants or coverall (min 4 cal/cm²); arc-rated face shield or flash suit hood; hard hat; safety glasses; hearing protection; heavy-duty leather gloves; leather footwear</w:t>
            </w:r>
          </w:p>
        </w:tc>
      </w:tr>
      <w:tr>
        <w:tc>
          <w:tcPr>
            <w:tcW w:type="dxa" w:w="15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CAT 2</w:t>
            </w:r>
          </w:p>
        </w:tc>
        <w:tc>
          <w:tcPr>
            <w:tcW w:type="dxa" w:w="15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8 cal/cm²</w:t>
            </w:r>
          </w:p>
        </w:tc>
        <w:tc>
          <w:tcPr>
            <w:tcW w:type="dxa" w:w="636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18"/>
                <w:szCs w:val="18"/>
              </w:rPr>
              <w:t xml:space="preserve">Arc-rated long-sleeve shirt and pants or coverall (min 8 cal/cm²); arc-rated flash suit hood or face shield with balaclava; hard hat; safety glasses; hearing protection; arc-rated gloves; leather footwear</w:t>
            </w:r>
          </w:p>
        </w:tc>
      </w:tr>
      <w:tr>
        <w:tc>
          <w:tcPr>
            <w:tcW w:type="dxa" w:w="15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CAT 3</w:t>
            </w:r>
          </w:p>
        </w:tc>
        <w:tc>
          <w:tcPr>
            <w:tcW w:type="dxa" w:w="150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25 cal/cm²</w:t>
            </w:r>
          </w:p>
        </w:tc>
        <w:tc>
          <w:tcPr>
            <w:tcW w:type="dxa" w:w="636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18"/>
                <w:szCs w:val="18"/>
              </w:rPr>
              <w:t xml:space="preserve">Arc flash suit (jacket, pants, and hood) rated min 25 cal/cm²; arc-rated gloves; hard hat; safety glasses; hearing protection; arc-rated jacket and pants worn underneath; leather footwear</w:t>
            </w:r>
          </w:p>
        </w:tc>
      </w:tr>
      <w:tr>
        <w:tc>
          <w:tcPr>
            <w:tcW w:type="dxa" w:w="15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CAT 4</w:t>
            </w:r>
          </w:p>
        </w:tc>
        <w:tc>
          <w:tcPr>
            <w:tcW w:type="dxa" w:w="150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40 cal/cm²</w:t>
            </w:r>
          </w:p>
        </w:tc>
        <w:tc>
          <w:tcPr>
            <w:tcW w:type="dxa" w:w="636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18"/>
                <w:szCs w:val="18"/>
              </w:rPr>
              <w:t xml:space="preserve">Arc flash suit (jacket, pants, and hood) rated min 40 cal/cm²; arc-rated gloves; hard hat; safety glasses; hearing protection; arc-rated shirt and pants worn underneath; leather footwear</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Note:</w:t>
      </w:r>
      <w:r>
        <w:rPr>
          <w:rFonts w:ascii="Calibri" w:cs="Calibri" w:eastAsia="Calibri" w:hAnsi="Calibri"/>
          <w:color w:val="1B2A4A"/>
          <w:sz w:val="22"/>
          <w:szCs w:val="22"/>
        </w:rPr>
        <w:t xml:space="preserve"> All arc-rated clothing and equipment must be properly maintained and inspected before each use. Contaminated, damaged, or worn PPE must be replaced immediately.</w:t>
      </w:r>
    </w:p>
    <w:p>
      <w:pPr>
        <w:pStyle w:val="Heading2"/>
        <w:spacing w:after="40" w:before="280"/>
      </w:pPr>
      <w:r>
        <w:rPr>
          <w:rFonts w:ascii="Calibri" w:cs="Calibri" w:eastAsia="Calibri" w:hAnsi="Calibri"/>
          <w:b/>
          <w:bCs/>
          <w:color w:val="1B2A4A"/>
          <w:sz w:val="26"/>
          <w:szCs w:val="26"/>
        </w:rPr>
        <w:t xml:space="preserve">5.4 GFCIs and Assured Equipment Grounding</w:t>
      </w:r>
    </w:p>
    <w:p>
      <w:pPr>
        <w:spacing w:after="60" w:before="60"/>
      </w:pPr>
    </w:p>
    <w:p>
      <w:pPr>
        <w:spacing w:after="80" w:before="80"/>
        <w:jc w:val="left"/>
      </w:pPr>
      <w:r>
        <w:rPr>
          <w:rFonts w:ascii="Calibri" w:cs="Calibri" w:eastAsia="Calibri" w:hAnsi="Calibri"/>
          <w:color w:val="1B2A4A"/>
          <w:sz w:val="22"/>
          <w:szCs w:val="22"/>
        </w:rPr>
        <w:t xml:space="preserve">Per 29 CFR 1926.404(b)(1), [COMPANY NAME] shall use one or both of the following methods on construction sites:</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Ground-Fault Circuit Interrupters (GFCIs):</w:t>
      </w:r>
      <w:r>
        <w:rPr>
          <w:rFonts w:ascii="Calibri" w:cs="Calibri" w:eastAsia="Calibri" w:hAnsi="Calibri"/>
          <w:color w:val="1B2A4A"/>
          <w:sz w:val="22"/>
          <w:szCs w:val="22"/>
        </w:rPr>
        <w:t xml:space="preserve"/>
      </w:r>
    </w:p>
    <w:p>
      <w:pPr>
        <w:pStyle w:val="ListParagraph"/>
        <w:numPr>
          <w:ilvl w:val="0"/>
          <w:numId w:val="11"/>
        </w:numPr>
        <w:spacing w:after="40" w:before="40"/>
      </w:pPr>
      <w:r>
        <w:rPr>
          <w:rFonts w:ascii="Calibri" w:cs="Calibri" w:eastAsia="Calibri" w:hAnsi="Calibri"/>
          <w:color w:val="1B2A4A"/>
          <w:sz w:val="22"/>
          <w:szCs w:val="22"/>
        </w:rPr>
        <w:t xml:space="preserve">All 120-volt, single-phase, 15- and 20-ampere receptacle outlets on construction sites that are not part of the permanent wiring shall have GFCI protection.</w:t>
      </w:r>
    </w:p>
    <w:p>
      <w:pPr>
        <w:pStyle w:val="ListParagraph"/>
        <w:numPr>
          <w:ilvl w:val="0"/>
          <w:numId w:val="11"/>
        </w:numPr>
        <w:spacing w:after="40" w:before="40"/>
      </w:pPr>
      <w:r>
        <w:rPr>
          <w:rFonts w:ascii="Calibri" w:cs="Calibri" w:eastAsia="Calibri" w:hAnsi="Calibri"/>
          <w:color w:val="1B2A4A"/>
          <w:sz w:val="22"/>
          <w:szCs w:val="22"/>
        </w:rPr>
        <w:t xml:space="preserve">GFCIs shall be tested before each day's use per manufacturer's instructions.</w:t>
      </w:r>
    </w:p>
    <w:p>
      <w:pPr>
        <w:pStyle w:val="ListParagraph"/>
        <w:numPr>
          <w:ilvl w:val="0"/>
          <w:numId w:val="11"/>
        </w:numPr>
        <w:spacing w:after="40" w:before="40"/>
      </w:pPr>
      <w:r>
        <w:rPr>
          <w:rFonts w:ascii="Calibri" w:cs="Calibri" w:eastAsia="Calibri" w:hAnsi="Calibri"/>
          <w:color w:val="1B2A4A"/>
          <w:sz w:val="22"/>
          <w:szCs w:val="22"/>
        </w:rPr>
        <w:t xml:space="preserve">Defective GFCIs shall be removed from service immediately.</w:t>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Assured Equipment Grounding Conductor Program (AEGCP):</w:t>
      </w:r>
      <w:r>
        <w:rPr>
          <w:rFonts w:ascii="Calibri" w:cs="Calibri" w:eastAsia="Calibri" w:hAnsi="Calibri"/>
          <w:color w:val="1B2A4A"/>
          <w:sz w:val="22"/>
          <w:szCs w:val="22"/>
        </w:rPr>
        <w:t xml:space="preserve"/>
      </w:r>
    </w:p>
    <w:p>
      <w:pPr>
        <w:pStyle w:val="ListParagraph"/>
        <w:numPr>
          <w:ilvl w:val="0"/>
          <w:numId w:val="12"/>
        </w:numPr>
        <w:spacing w:after="40" w:before="40"/>
      </w:pPr>
      <w:r>
        <w:rPr>
          <w:rFonts w:ascii="Calibri" w:cs="Calibri" w:eastAsia="Calibri" w:hAnsi="Calibri"/>
          <w:color w:val="1B2A4A"/>
          <w:sz w:val="22"/>
          <w:szCs w:val="22"/>
        </w:rPr>
        <w:t xml:space="preserve">As an alternative or supplement to GFCIs, [COMPANY NAME] may implement an AEGCP.</w:t>
      </w:r>
    </w:p>
    <w:p>
      <w:pPr>
        <w:pStyle w:val="ListParagraph"/>
        <w:numPr>
          <w:ilvl w:val="0"/>
          <w:numId w:val="12"/>
        </w:numPr>
        <w:spacing w:after="40" w:before="40"/>
      </w:pPr>
      <w:r>
        <w:rPr>
          <w:rFonts w:ascii="Calibri" w:cs="Calibri" w:eastAsia="Calibri" w:hAnsi="Calibri"/>
          <w:color w:val="1B2A4A"/>
          <w:sz w:val="22"/>
          <w:szCs w:val="22"/>
        </w:rPr>
        <w:t xml:space="preserve">All equipment grounding conductors shall be tested for continuity and correct attachment.</w:t>
      </w:r>
    </w:p>
    <w:p>
      <w:pPr>
        <w:pStyle w:val="ListParagraph"/>
        <w:numPr>
          <w:ilvl w:val="0"/>
          <w:numId w:val="12"/>
        </w:numPr>
        <w:spacing w:after="40" w:before="40"/>
      </w:pPr>
      <w:r>
        <w:rPr>
          <w:rFonts w:ascii="Calibri" w:cs="Calibri" w:eastAsia="Calibri" w:hAnsi="Calibri"/>
          <w:color w:val="1B2A4A"/>
          <w:sz w:val="22"/>
          <w:szCs w:val="22"/>
        </w:rPr>
        <w:t xml:space="preserve">Testing shall occur before first use, after any repair, at intervals not exceeding 3 months, and before use after any incident that could cause damage.</w:t>
      </w:r>
    </w:p>
    <w:p>
      <w:pPr>
        <w:pStyle w:val="ListParagraph"/>
        <w:numPr>
          <w:ilvl w:val="0"/>
          <w:numId w:val="12"/>
        </w:numPr>
        <w:spacing w:after="40" w:before="40"/>
      </w:pPr>
      <w:r>
        <w:rPr>
          <w:rFonts w:ascii="Calibri" w:cs="Calibri" w:eastAsia="Calibri" w:hAnsi="Calibri"/>
          <w:color w:val="1B2A4A"/>
          <w:sz w:val="22"/>
          <w:szCs w:val="22"/>
        </w:rPr>
        <w:t xml:space="preserve">A competent person shall be designated to implement the program.</w:t>
      </w:r>
    </w:p>
    <w:p>
      <w:pPr>
        <w:pStyle w:val="ListParagraph"/>
        <w:numPr>
          <w:ilvl w:val="0"/>
          <w:numId w:val="12"/>
        </w:numPr>
        <w:spacing w:after="40" w:before="40"/>
      </w:pPr>
      <w:r>
        <w:rPr>
          <w:rFonts w:ascii="Calibri" w:cs="Calibri" w:eastAsia="Calibri" w:hAnsi="Calibri"/>
          <w:color w:val="1B2A4A"/>
          <w:sz w:val="22"/>
          <w:szCs w:val="22"/>
        </w:rPr>
        <w:t xml:space="preserve">All tests shall be documented and records maintained at the jobsite.</w:t>
      </w:r>
    </w:p>
    <w:p>
      <w:pPr>
        <w:pStyle w:val="Heading2"/>
        <w:spacing w:after="40" w:before="280"/>
      </w:pPr>
      <w:r>
        <w:rPr>
          <w:rFonts w:ascii="Calibri" w:cs="Calibri" w:eastAsia="Calibri" w:hAnsi="Calibri"/>
          <w:b/>
          <w:bCs/>
          <w:color w:val="1B2A4A"/>
          <w:sz w:val="26"/>
          <w:szCs w:val="26"/>
        </w:rPr>
        <w:t xml:space="preserve">5.5 Overhead Power Line Clearance Distances</w:t>
      </w:r>
    </w:p>
    <w:p>
      <w:pPr>
        <w:spacing w:after="60" w:before="60"/>
      </w:pPr>
    </w:p>
    <w:p>
      <w:pPr>
        <w:spacing w:after="80" w:before="80"/>
        <w:jc w:val="left"/>
      </w:pPr>
      <w:r>
        <w:rPr>
          <w:rFonts w:ascii="Calibri" w:cs="Calibri" w:eastAsia="Calibri" w:hAnsi="Calibri"/>
          <w:color w:val="1B2A4A"/>
          <w:sz w:val="22"/>
          <w:szCs w:val="22"/>
        </w:rPr>
        <w:t xml:space="preserve">Per 29 CFR 1926.1408 and OSHA requirements, the following minimum clearance distances must be maintained from overhead power lines: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Voltage Range (kV)</w:t>
            </w:r>
          </w:p>
        </w:tc>
        <w:tc>
          <w:tcPr>
            <w:tcW w:type="dxa" w:w="4680"/>
            <w:tcBorders>
              <w:top w:val="single" w:color="D4D4D4" w:sz="1"/>
              <w:left w:val="single" w:color="D4D4D4" w:sz="1"/>
              <w:bottom w:val="single" w:color="D4D4D4" w:sz="1"/>
              <w:right w:val="single" w:color="D4D4D4" w:sz="1"/>
            </w:tcBorders>
            <w:shd w:fill="1B2A4A" w:val="clear"/>
            <w:tcMar>
              <w:top w:type="dxa" w:w="60"/>
              <w:left w:type="dxa" w:w="80"/>
              <w:bottom w:type="dxa" w:w="60"/>
              <w:right w:type="dxa" w:w="80"/>
            </w:tcMar>
            <w:vAlign w:val="center"/>
          </w:tcPr>
          <w:p>
            <w:pPr>
              <w:jc w:val="center"/>
            </w:pPr>
            <w:r>
              <w:rPr>
                <w:rFonts w:ascii="Calibri" w:cs="Calibri" w:eastAsia="Calibri" w:hAnsi="Calibri"/>
                <w:b/>
                <w:bCs/>
                <w:color w:val="FFFFFF"/>
                <w:sz w:val="20"/>
                <w:szCs w:val="20"/>
              </w:rPr>
              <w:t xml:space="preserve">Minimum Clearance Distance</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Up to 50 kV</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10 feet (3.05 m)</w:t>
            </w:r>
          </w:p>
        </w:tc>
      </w:tr>
      <w:tr>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Over 50 to 200 kV</w:t>
            </w:r>
          </w:p>
        </w:tc>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15 feet (4.60 m)</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Over 200 to 350 kV</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20 feet (6.10 m)</w:t>
            </w:r>
          </w:p>
        </w:tc>
      </w:tr>
      <w:tr>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Over 350 to 500 kV</w:t>
            </w:r>
          </w:p>
        </w:tc>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25 feet (7.62 m)</w:t>
            </w:r>
          </w:p>
        </w:tc>
      </w:tr>
      <w:tr>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Over 500 to 750 kV</w:t>
            </w:r>
          </w:p>
        </w:tc>
        <w:tc>
          <w:tcPr>
            <w:tcW w:type="dxa" w:w="4680"/>
            <w:tcBorders>
              <w:top w:val="single" w:color="D4D4D4" w:sz="1"/>
              <w:left w:val="single" w:color="D4D4D4" w:sz="1"/>
              <w:bottom w:val="single" w:color="D4D4D4" w:sz="1"/>
              <w:right w:val="single" w:color="D4D4D4" w:sz="1"/>
            </w:tcBorders>
            <w:shd w:fill="FFFFFF"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35 feet (10.67 m)</w:t>
            </w:r>
          </w:p>
        </w:tc>
      </w:tr>
      <w:tr>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left"/>
            </w:pPr>
            <w:r>
              <w:rPr>
                <w:rFonts w:ascii="Calibri" w:cs="Calibri" w:eastAsia="Calibri" w:hAnsi="Calibri"/>
                <w:color w:val="1B2A4A"/>
                <w:sz w:val="20"/>
                <w:szCs w:val="20"/>
              </w:rPr>
              <w:t xml:space="preserve">Over 750 to 1,000 kV</w:t>
            </w:r>
          </w:p>
        </w:tc>
        <w:tc>
          <w:tcPr>
            <w:tcW w:type="dxa" w:w="4680"/>
            <w:tcBorders>
              <w:top w:val="single" w:color="D4D4D4" w:sz="1"/>
              <w:left w:val="single" w:color="D4D4D4" w:sz="1"/>
              <w:bottom w:val="single" w:color="D4D4D4" w:sz="1"/>
              <w:right w:val="single" w:color="D4D4D4" w:sz="1"/>
            </w:tcBorders>
            <w:shd w:fill="F2F3F5" w:val="clear"/>
            <w:tcMar>
              <w:top w:type="dxa" w:w="50"/>
              <w:left w:type="dxa" w:w="80"/>
              <w:bottom w:type="dxa" w:w="50"/>
              <w:right w:type="dxa" w:w="80"/>
            </w:tcMar>
            <w:vAlign w:val="center"/>
          </w:tcPr>
          <w:p>
            <w:pPr>
              <w:jc w:val="center"/>
            </w:pPr>
            <w:r>
              <w:rPr>
                <w:rFonts w:ascii="Calibri" w:cs="Calibri" w:eastAsia="Calibri" w:hAnsi="Calibri"/>
                <w:color w:val="1B2A4A"/>
                <w:sz w:val="20"/>
                <w:szCs w:val="20"/>
              </w:rPr>
              <w:t xml:space="preserve">45 feet (13.72 m)</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Note:</w:t>
      </w:r>
      <w:r>
        <w:rPr>
          <w:rFonts w:ascii="Calibri" w:cs="Calibri" w:eastAsia="Calibri" w:hAnsi="Calibri"/>
          <w:color w:val="1B2A4A"/>
          <w:sz w:val="22"/>
          <w:szCs w:val="22"/>
        </w:rPr>
        <w:t xml:space="preserve"> If voltage is unknown and the utility owner cannot provide the information, the minimum clearance distance is 20 feet for lines rated over 350 kV to 1,000 kV, or 10 feet for voltages below 50 kV.</w:t>
      </w:r>
    </w:p>
    <w:p>
      <w:pPr>
        <w:pStyle w:val="Heading2"/>
        <w:spacing w:after="40" w:before="280"/>
      </w:pPr>
      <w:r>
        <w:rPr>
          <w:rFonts w:ascii="Calibri" w:cs="Calibri" w:eastAsia="Calibri" w:hAnsi="Calibri"/>
          <w:b/>
          <w:bCs/>
          <w:color w:val="1B2A4A"/>
          <w:sz w:val="26"/>
          <w:szCs w:val="26"/>
        </w:rPr>
        <w:t xml:space="preserve">5.6 Temporary Wiring Requirements</w:t>
      </w:r>
    </w:p>
    <w:p>
      <w:pPr>
        <w:spacing w:after="60" w:before="60"/>
      </w:pPr>
    </w:p>
    <w:p>
      <w:pPr>
        <w:spacing w:after="80" w:before="80"/>
        <w:jc w:val="left"/>
      </w:pPr>
      <w:r>
        <w:rPr>
          <w:rFonts w:ascii="Calibri" w:cs="Calibri" w:eastAsia="Calibri" w:hAnsi="Calibri"/>
          <w:color w:val="1B2A4A"/>
          <w:sz w:val="22"/>
          <w:szCs w:val="22"/>
        </w:rPr>
        <w:t xml:space="preserve">Temporary electrical wiring on construction sites must comply with the following:</w:t>
      </w:r>
    </w:p>
    <w:p>
      <w:pPr>
        <w:pStyle w:val="ListParagraph"/>
        <w:numPr>
          <w:ilvl w:val="0"/>
          <w:numId w:val="2"/>
        </w:numPr>
        <w:spacing w:after="40" w:before="40"/>
      </w:pPr>
      <w:r>
        <w:rPr>
          <w:rFonts w:ascii="Calibri" w:cs="Calibri" w:eastAsia="Calibri" w:hAnsi="Calibri"/>
          <w:color w:val="1B2A4A"/>
          <w:sz w:val="22"/>
          <w:szCs w:val="22"/>
        </w:rPr>
        <w:t xml:space="preserve">Temporary wiring shall be removed immediately upon completion of the project or purpose.</w:t>
      </w:r>
    </w:p>
    <w:p>
      <w:pPr>
        <w:pStyle w:val="ListParagraph"/>
        <w:numPr>
          <w:ilvl w:val="0"/>
          <w:numId w:val="2"/>
        </w:numPr>
        <w:spacing w:after="40" w:before="40"/>
      </w:pPr>
      <w:r>
        <w:rPr>
          <w:rFonts w:ascii="Calibri" w:cs="Calibri" w:eastAsia="Calibri" w:hAnsi="Calibri"/>
          <w:color w:val="1B2A4A"/>
          <w:sz w:val="22"/>
          <w:szCs w:val="22"/>
        </w:rPr>
        <w:t xml:space="preserve">All temporary branch circuits shall originate from an approved power outlet or panel board.</w:t>
      </w:r>
    </w:p>
    <w:p>
      <w:pPr>
        <w:pStyle w:val="ListParagraph"/>
        <w:numPr>
          <w:ilvl w:val="0"/>
          <w:numId w:val="2"/>
        </w:numPr>
        <w:spacing w:after="40" w:before="40"/>
      </w:pPr>
      <w:r>
        <w:rPr>
          <w:rFonts w:ascii="Calibri" w:cs="Calibri" w:eastAsia="Calibri" w:hAnsi="Calibri"/>
          <w:color w:val="1B2A4A"/>
          <w:sz w:val="22"/>
          <w:szCs w:val="22"/>
        </w:rPr>
        <w:t xml:space="preserve">Receptacles on temporary circuits shall be of the grounding type.</w:t>
      </w:r>
    </w:p>
    <w:p>
      <w:pPr>
        <w:pStyle w:val="ListParagraph"/>
        <w:numPr>
          <w:ilvl w:val="0"/>
          <w:numId w:val="2"/>
        </w:numPr>
        <w:spacing w:after="40" w:before="40"/>
      </w:pPr>
      <w:r>
        <w:rPr>
          <w:rFonts w:ascii="Calibri" w:cs="Calibri" w:eastAsia="Calibri" w:hAnsi="Calibri"/>
          <w:color w:val="1B2A4A"/>
          <w:sz w:val="22"/>
          <w:szCs w:val="22"/>
        </w:rPr>
        <w:t xml:space="preserve">All flexible cords shall be rated for hard or extra-hard usage (e.g., S, ST, SO, STO, SJ, SJT, SJO, SJTO types).</w:t>
      </w:r>
    </w:p>
    <w:p>
      <w:pPr>
        <w:pStyle w:val="ListParagraph"/>
        <w:numPr>
          <w:ilvl w:val="0"/>
          <w:numId w:val="2"/>
        </w:numPr>
        <w:spacing w:after="40" w:before="40"/>
      </w:pPr>
      <w:r>
        <w:rPr>
          <w:rFonts w:ascii="Calibri" w:cs="Calibri" w:eastAsia="Calibri" w:hAnsi="Calibri"/>
          <w:color w:val="1B2A4A"/>
          <w:sz w:val="22"/>
          <w:szCs w:val="22"/>
        </w:rPr>
        <w:t xml:space="preserve">Flexible cords shall not be fastened with staples, hung from nails, or suspended by wire.</w:t>
      </w:r>
    </w:p>
    <w:p>
      <w:pPr>
        <w:pStyle w:val="ListParagraph"/>
        <w:numPr>
          <w:ilvl w:val="0"/>
          <w:numId w:val="2"/>
        </w:numPr>
        <w:spacing w:after="40" w:before="40"/>
      </w:pPr>
      <w:r>
        <w:rPr>
          <w:rFonts w:ascii="Calibri" w:cs="Calibri" w:eastAsia="Calibri" w:hAnsi="Calibri"/>
          <w:color w:val="1B2A4A"/>
          <w:sz w:val="22"/>
          <w:szCs w:val="22"/>
        </w:rPr>
        <w:t xml:space="preserve">All cords passing through work areas shall be protected from damage (covered, elevated, or routed away from traffic).</w:t>
      </w:r>
    </w:p>
    <w:p>
      <w:pPr>
        <w:pStyle w:val="ListParagraph"/>
        <w:numPr>
          <w:ilvl w:val="0"/>
          <w:numId w:val="2"/>
        </w:numPr>
        <w:spacing w:after="40" w:before="40"/>
      </w:pPr>
      <w:r>
        <w:rPr>
          <w:rFonts w:ascii="Calibri" w:cs="Calibri" w:eastAsia="Calibri" w:hAnsi="Calibri"/>
          <w:color w:val="1B2A4A"/>
          <w:sz w:val="22"/>
          <w:szCs w:val="22"/>
        </w:rPr>
        <w:t xml:space="preserve">Extension cords used with portable tools and equipment shall be the three-wire type.</w:t>
      </w:r>
    </w:p>
    <w:p>
      <w:pPr>
        <w:pStyle w:val="ListParagraph"/>
        <w:numPr>
          <w:ilvl w:val="0"/>
          <w:numId w:val="2"/>
        </w:numPr>
        <w:spacing w:after="40" w:before="40"/>
      </w:pPr>
      <w:r>
        <w:rPr>
          <w:rFonts w:ascii="Calibri" w:cs="Calibri" w:eastAsia="Calibri" w:hAnsi="Calibri"/>
          <w:color w:val="1B2A4A"/>
          <w:sz w:val="22"/>
          <w:szCs w:val="22"/>
        </w:rPr>
        <w:t xml:space="preserve">Each temporary circuit shall be protected by an overcurrent device of appropriate rating.</w:t>
      </w:r>
    </w:p>
    <w:p>
      <w:pPr>
        <w:pStyle w:val="Heading1"/>
        <w:spacing w:after="40" w:before="360"/>
      </w:pPr>
      <w:r>
        <w:rPr>
          <w:rFonts w:ascii="Calibri" w:cs="Calibri" w:eastAsia="Calibri" w:hAnsi="Calibri"/>
          <w:b/>
          <w:bCs/>
          <w:color w:val="1B2A4A"/>
          <w:sz w:val="32"/>
          <w:szCs w:val="32"/>
        </w:rPr>
        <w:t xml:space="preserve">6. TRAINING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[COMPANY NAME] shall provide electrical safety training to all employees who face risk of electric shock or arc flash hazards. Training shall be appropriate to the employee's job duties and classification.</w:t>
      </w:r>
    </w:p>
    <w:p>
      <w:pPr>
        <w:pStyle w:val="Heading2"/>
        <w:spacing w:after="40" w:before="280"/>
      </w:pPr>
      <w:r>
        <w:rPr>
          <w:rFonts w:ascii="Calibri" w:cs="Calibri" w:eastAsia="Calibri" w:hAnsi="Calibri"/>
          <w:b/>
          <w:bCs/>
          <w:color w:val="1B2A4A"/>
          <w:sz w:val="26"/>
          <w:szCs w:val="26"/>
        </w:rPr>
        <w:t xml:space="preserve">6.1 Qualified Person Training</w:t>
      </w:r>
    </w:p>
    <w:p>
      <w:pPr>
        <w:spacing w:after="60" w:before="60"/>
      </w:pPr>
    </w:p>
    <w:p>
      <w:pPr>
        <w:pStyle w:val="ListParagraph"/>
        <w:numPr>
          <w:ilvl w:val="0"/>
          <w:numId w:val="3"/>
        </w:numPr>
        <w:spacing w:after="40" w:before="40"/>
      </w:pPr>
      <w:r>
        <w:rPr>
          <w:rFonts w:ascii="Calibri" w:cs="Calibri" w:eastAsia="Calibri" w:hAnsi="Calibri"/>
          <w:color w:val="1B2A4A"/>
          <w:sz w:val="22"/>
          <w:szCs w:val="22"/>
        </w:rPr>
        <w:t xml:space="preserve">Skills and techniques necessary to distinguish exposed live parts from other parts of electrical equipment</w:t>
      </w:r>
    </w:p>
    <w:p>
      <w:pPr>
        <w:pStyle w:val="ListParagraph"/>
        <w:numPr>
          <w:ilvl w:val="0"/>
          <w:numId w:val="3"/>
        </w:numPr>
        <w:spacing w:after="40" w:before="40"/>
      </w:pPr>
      <w:r>
        <w:rPr>
          <w:rFonts w:ascii="Calibri" w:cs="Calibri" w:eastAsia="Calibri" w:hAnsi="Calibri"/>
          <w:color w:val="1B2A4A"/>
          <w:sz w:val="22"/>
          <w:szCs w:val="22"/>
        </w:rPr>
        <w:t xml:space="preserve">Skills and techniques necessary to determine nominal voltage of exposed live parts</w:t>
      </w:r>
    </w:p>
    <w:p>
      <w:pPr>
        <w:pStyle w:val="ListParagraph"/>
        <w:numPr>
          <w:ilvl w:val="0"/>
          <w:numId w:val="3"/>
        </w:numPr>
        <w:spacing w:after="40" w:before="40"/>
      </w:pPr>
      <w:r>
        <w:rPr>
          <w:rFonts w:ascii="Calibri" w:cs="Calibri" w:eastAsia="Calibri" w:hAnsi="Calibri"/>
          <w:color w:val="1B2A4A"/>
          <w:sz w:val="22"/>
          <w:szCs w:val="22"/>
        </w:rPr>
        <w:t xml:space="preserve">Knowledge of approach boundary distances for the voltage levels involved</w:t>
      </w:r>
    </w:p>
    <w:p>
      <w:pPr>
        <w:pStyle w:val="ListParagraph"/>
        <w:numPr>
          <w:ilvl w:val="0"/>
          <w:numId w:val="3"/>
        </w:numPr>
        <w:spacing w:after="40" w:before="40"/>
      </w:pPr>
      <w:r>
        <w:rPr>
          <w:rFonts w:ascii="Calibri" w:cs="Calibri" w:eastAsia="Calibri" w:hAnsi="Calibri"/>
          <w:color w:val="1B2A4A"/>
          <w:sz w:val="22"/>
          <w:szCs w:val="22"/>
        </w:rPr>
        <w:t xml:space="preserve">Decision-making process for determining degree and extent of the hazard, including arc flash hazard analysis</w:t>
      </w:r>
    </w:p>
    <w:p>
      <w:pPr>
        <w:pStyle w:val="ListParagraph"/>
        <w:numPr>
          <w:ilvl w:val="0"/>
          <w:numId w:val="3"/>
        </w:numPr>
        <w:spacing w:after="40" w:before="40"/>
      </w:pPr>
      <w:r>
        <w:rPr>
          <w:rFonts w:ascii="Calibri" w:cs="Calibri" w:eastAsia="Calibri" w:hAnsi="Calibri"/>
          <w:color w:val="1B2A4A"/>
          <w:sz w:val="22"/>
          <w:szCs w:val="22"/>
        </w:rPr>
        <w:t xml:space="preserve">Proper selection and use of arc-rated PPE</w:t>
      </w:r>
    </w:p>
    <w:p>
      <w:pPr>
        <w:pStyle w:val="ListParagraph"/>
        <w:numPr>
          <w:ilvl w:val="0"/>
          <w:numId w:val="3"/>
        </w:numPr>
        <w:spacing w:after="40" w:before="40"/>
      </w:pPr>
      <w:r>
        <w:rPr>
          <w:rFonts w:ascii="Calibri" w:cs="Calibri" w:eastAsia="Calibri" w:hAnsi="Calibri"/>
          <w:color w:val="1B2A4A"/>
          <w:sz w:val="22"/>
          <w:szCs w:val="22"/>
        </w:rPr>
        <w:t xml:space="preserve">Lockout/tagout procedures for de-energizing electrical equipment</w:t>
      </w:r>
    </w:p>
    <w:p>
      <w:pPr>
        <w:pStyle w:val="ListParagraph"/>
        <w:numPr>
          <w:ilvl w:val="0"/>
          <w:numId w:val="3"/>
        </w:numPr>
        <w:spacing w:after="40" w:before="40"/>
      </w:pPr>
      <w:r>
        <w:rPr>
          <w:rFonts w:ascii="Calibri" w:cs="Calibri" w:eastAsia="Calibri" w:hAnsi="Calibri"/>
          <w:color w:val="1B2A4A"/>
          <w:sz w:val="22"/>
          <w:szCs w:val="22"/>
        </w:rPr>
        <w:t xml:space="preserve">Emergency procedures, including CPR/AED and rescue from contact with energized conductors</w:t>
      </w:r>
    </w:p>
    <w:p>
      <w:pPr>
        <w:pStyle w:val="ListParagraph"/>
        <w:numPr>
          <w:ilvl w:val="0"/>
          <w:numId w:val="3"/>
        </w:numPr>
        <w:spacing w:after="40" w:before="40"/>
      </w:pPr>
      <w:r>
        <w:rPr>
          <w:rFonts w:ascii="Calibri" w:cs="Calibri" w:eastAsia="Calibri" w:hAnsi="Calibri"/>
          <w:color w:val="1B2A4A"/>
          <w:sz w:val="22"/>
          <w:szCs w:val="22"/>
        </w:rPr>
        <w:t xml:space="preserve">Retraining at intervals not exceeding three (3) years or when procedures change</w:t>
      </w:r>
    </w:p>
    <w:p>
      <w:pPr>
        <w:pStyle w:val="Heading2"/>
        <w:spacing w:after="40" w:before="280"/>
      </w:pPr>
      <w:r>
        <w:rPr>
          <w:rFonts w:ascii="Calibri" w:cs="Calibri" w:eastAsia="Calibri" w:hAnsi="Calibri"/>
          <w:b/>
          <w:bCs/>
          <w:color w:val="1B2A4A"/>
          <w:sz w:val="26"/>
          <w:szCs w:val="26"/>
        </w:rPr>
        <w:t xml:space="preserve">6.2 Unqualified Person Training</w:t>
      </w:r>
    </w:p>
    <w:p>
      <w:pPr>
        <w:spacing w:after="60" w:before="60"/>
      </w:pPr>
    </w:p>
    <w:p>
      <w:pPr>
        <w:pStyle w:val="ListParagraph"/>
        <w:numPr>
          <w:ilvl w:val="0"/>
          <w:numId w:val="4"/>
        </w:numPr>
        <w:spacing w:after="40" w:before="40"/>
      </w:pPr>
      <w:r>
        <w:rPr>
          <w:rFonts w:ascii="Calibri" w:cs="Calibri" w:eastAsia="Calibri" w:hAnsi="Calibri"/>
          <w:color w:val="1B2A4A"/>
          <w:sz w:val="22"/>
          <w:szCs w:val="22"/>
        </w:rPr>
        <w:t xml:space="preserve">Recognition of electrical hazards and understanding of approach boundaries</w:t>
      </w:r>
    </w:p>
    <w:p>
      <w:pPr>
        <w:pStyle w:val="ListParagraph"/>
        <w:numPr>
          <w:ilvl w:val="0"/>
          <w:numId w:val="4"/>
        </w:numPr>
        <w:spacing w:after="40" w:before="40"/>
      </w:pPr>
      <w:r>
        <w:rPr>
          <w:rFonts w:ascii="Calibri" w:cs="Calibri" w:eastAsia="Calibri" w:hAnsi="Calibri"/>
          <w:color w:val="1B2A4A"/>
          <w:sz w:val="22"/>
          <w:szCs w:val="22"/>
        </w:rPr>
        <w:t xml:space="preserve">Procedures for safe interaction around electrical equipment</w:t>
      </w:r>
    </w:p>
    <w:p>
      <w:pPr>
        <w:pStyle w:val="ListParagraph"/>
        <w:numPr>
          <w:ilvl w:val="0"/>
          <w:numId w:val="4"/>
        </w:numPr>
        <w:spacing w:after="40" w:before="40"/>
      </w:pPr>
      <w:r>
        <w:rPr>
          <w:rFonts w:ascii="Calibri" w:cs="Calibri" w:eastAsia="Calibri" w:hAnsi="Calibri"/>
          <w:color w:val="1B2A4A"/>
          <w:sz w:val="22"/>
          <w:szCs w:val="22"/>
        </w:rPr>
        <w:t xml:space="preserve">Emergency response and reporting procedures</w:t>
      </w:r>
    </w:p>
    <w:p>
      <w:pPr>
        <w:pStyle w:val="ListParagraph"/>
        <w:numPr>
          <w:ilvl w:val="0"/>
          <w:numId w:val="4"/>
        </w:numPr>
        <w:spacing w:after="40" w:before="40"/>
      </w:pPr>
      <w:r>
        <w:rPr>
          <w:rFonts w:ascii="Calibri" w:cs="Calibri" w:eastAsia="Calibri" w:hAnsi="Calibri"/>
          <w:color w:val="1B2A4A"/>
          <w:sz w:val="22"/>
          <w:szCs w:val="22"/>
        </w:rPr>
        <w:t xml:space="preserve">Proper use of GFCIs and extension cords</w:t>
      </w:r>
    </w:p>
    <w:p>
      <w:pPr>
        <w:pStyle w:val="Heading1"/>
        <w:spacing w:after="40" w:before="360"/>
      </w:pPr>
      <w:r>
        <w:rPr>
          <w:rFonts w:ascii="Calibri" w:cs="Calibri" w:eastAsia="Calibri" w:hAnsi="Calibri"/>
          <w:b/>
          <w:bCs/>
          <w:color w:val="1B2A4A"/>
          <w:sz w:val="32"/>
          <w:szCs w:val="32"/>
        </w:rPr>
        <w:t xml:space="preserve">7. RECORDKEEPING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[COMPANY NAME] shall maintain the following records:</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Training records:</w:t>
      </w:r>
      <w:r>
        <w:rPr>
          <w:rFonts w:ascii="Calibri" w:cs="Calibri" w:eastAsia="Calibri" w:hAnsi="Calibri"/>
          <w:color w:val="1B2A4A"/>
          <w:sz w:val="22"/>
          <w:szCs w:val="22"/>
        </w:rPr>
        <w:t xml:space="preserve"> Names, dates, content, and trainer information for all electrical safety training. Retained for duration of employment plus three (3) years.</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Energized Electrical Work Permits:</w:t>
      </w:r>
      <w:r>
        <w:rPr>
          <w:rFonts w:ascii="Calibri" w:cs="Calibri" w:eastAsia="Calibri" w:hAnsi="Calibri"/>
          <w:color w:val="1B2A4A"/>
          <w:sz w:val="22"/>
          <w:szCs w:val="22"/>
        </w:rPr>
        <w:t xml:space="preserve"> All completed permits retained for a minimum of three (3) years.</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Arc flash hazard analysis records:</w:t>
      </w:r>
      <w:r>
        <w:rPr>
          <w:rFonts w:ascii="Calibri" w:cs="Calibri" w:eastAsia="Calibri" w:hAnsi="Calibri"/>
          <w:color w:val="1B2A4A"/>
          <w:sz w:val="22"/>
          <w:szCs w:val="22"/>
        </w:rPr>
        <w:t xml:space="preserve"> All arc flash study reports, labels, and updates retained for the life of the equipment.</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Equipment inspection and testing records:</w:t>
      </w:r>
      <w:r>
        <w:rPr>
          <w:rFonts w:ascii="Calibri" w:cs="Calibri" w:eastAsia="Calibri" w:hAnsi="Calibri"/>
          <w:color w:val="1B2A4A"/>
          <w:sz w:val="22"/>
          <w:szCs w:val="22"/>
        </w:rPr>
        <w:t xml:space="preserve"> GFCI testing logs, AEGCP testing records, and PPE inspection logs.</w:t>
      </w:r>
    </w:p>
    <w:p>
      <w:pPr>
        <w:pStyle w:val="ListParagraph"/>
        <w:numPr>
          <w:ilvl w:val="0"/>
          <w:numId w:val="5"/>
        </w:numPr>
        <w:spacing w:after="40" w:before="40"/>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Incident investigation reports:</w:t>
      </w:r>
      <w:r>
        <w:rPr>
          <w:rFonts w:ascii="Calibri" w:cs="Calibri" w:eastAsia="Calibri" w:hAnsi="Calibri"/>
          <w:color w:val="1B2A4A"/>
          <w:sz w:val="22"/>
          <w:szCs w:val="22"/>
        </w:rPr>
        <w:t xml:space="preserve"> All electrical incidents and near-misses retained for a minimum of five (5) years.</w:t>
      </w:r>
    </w:p>
    <w:p>
      <w:r>
        <w:br w:type="page"/>
      </w:r>
    </w:p>
    <w:p>
      <w:pPr>
        <w:pStyle w:val="Heading1"/>
        <w:spacing w:after="40" w:before="360"/>
      </w:pPr>
      <w:r>
        <w:rPr>
          <w:rFonts w:ascii="Calibri" w:cs="Calibri" w:eastAsia="Calibri" w:hAnsi="Calibri"/>
          <w:b/>
          <w:bCs/>
          <w:color w:val="1B2A4A"/>
          <w:sz w:val="32"/>
          <w:szCs w:val="32"/>
        </w:rPr>
        <w:t xml:space="preserve">APPENDIX A: ENERGIZED ELECTRICAL WORK PERMIT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D4D4" w:sz="1"/>
              <w:left w:val="single" w:color="D4D4D4" w:sz="1"/>
              <w:bottom w:val="single" w:color="D4D4D4" w:sz="1"/>
              <w:right w:val="single" w:color="D4D4D4" w:sz="1"/>
            </w:tcBorders>
            <w:shd w:fill="1B2A4A" w:val="clear"/>
            <w:tcMar>
              <w:top w:type="dxa" w:w="80"/>
              <w:left w:type="dxa" w:w="160"/>
              <w:bottom w:type="dxa" w:w="80"/>
              <w:right w:type="dxa" w:w="160"/>
            </w:tcMar>
          </w:tcPr>
          <w:p>
            <w:pPr>
              <w:jc w:val="center"/>
            </w:pPr>
            <w:r>
              <w:rPr>
                <w:rFonts w:ascii="Calibri" w:cs="Calibri" w:eastAsia="Calibri" w:hAnsi="Calibri"/>
                <w:b/>
                <w:bCs/>
                <w:color w:val="FFFFFF"/>
                <w:sz w:val="26"/>
                <w:szCs w:val="26"/>
              </w:rPr>
              <w:t xml:space="preserve">ENERGIZED ELECTRICAL WORK PERMIT</w:t>
            </w:r>
          </w:p>
        </w:tc>
      </w:tr>
    </w:tbl>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Permit Number: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p>
      <w:pPr>
        <w:spacing w:after="40" w:before="140"/>
      </w:pPr>
      <w:r>
        <w:rPr>
          <w:rFonts w:ascii="Calibri" w:cs="Calibri" w:eastAsia="Calibri" w:hAnsi="Calibri"/>
          <w:b/>
          <w:bCs/>
          <w:color w:val="1B2A4A"/>
          <w:sz w:val="22"/>
          <w:szCs w:val="22"/>
        </w:rPr>
        <w:t xml:space="preserve">Job Location / Description: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Equipment / Circuit Identification: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Voltage Level: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Justification for Energized Work</w:t>
      </w:r>
      <w:r>
        <w:rPr>
          <w:rFonts w:ascii="Calibri" w:cs="Calibri" w:eastAsia="Calibri" w:hAnsi="Calibri"/>
          <w:color w:val="1B2A4A"/>
          <w:sz w:val="22"/>
          <w:szCs w:val="22"/>
        </w:rPr>
        <w:t xml:space="preserve"> (check one):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De-energization would create additional or increased hazards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De-energization is infeasible due to equipment design or operational limitations</w:t>
      </w:r>
    </w:p>
    <w:p>
      <w:pPr>
        <w:spacing w:after="40" w:before="140"/>
      </w:pPr>
      <w:r>
        <w:rPr>
          <w:rFonts w:ascii="Calibri" w:cs="Calibri" w:eastAsia="Calibri" w:hAnsi="Calibri"/>
          <w:b/>
          <w:bCs/>
          <w:color w:val="1B2A4A"/>
          <w:sz w:val="22"/>
          <w:szCs w:val="22"/>
        </w:rPr>
        <w:t xml:space="preserve">Explain justification: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Hazard Analysis Results:</w:t>
      </w: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Shock Hazard Analysis: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Available Fault Current: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Arc Flash Boundary: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Incident Energy (cal/cm²):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PPE Category Required: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Working Distance: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Required PPE for This Task:</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Arc-rated clothing (min _____ cal/cm²)</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Arc-rated face shield / flash suit hood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Arc-rated gloves (Class _____)</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Hard hat (non-conductive)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Safety glasses / goggles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Hearing protection</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Insulated tools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Voltage-rated rubber gloves with leather protectors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Rubber insulating matting</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Other: 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Safe Work Practices:</w:t>
      </w: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Barriers / barricades used: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Means of restricting access: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Shock protection approach boundaries identified? (Y/N):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Job Briefing Conducted:</w:t>
      </w: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Briefing Conducted By: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 Time: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Attendees:</w:t>
      </w:r>
    </w:p>
    <w:p>
      <w:pPr>
        <w:spacing w:after="40" w:before="140"/>
      </w:pPr>
      <w:r>
        <w:rPr>
          <w:rFonts w:ascii="Calibri" w:cs="Calibri" w:eastAsia="Calibri" w:hAnsi="Calibri"/>
          <w:b/>
          <w:bCs/>
          <w:color w:val="1B2A4A"/>
          <w:sz w:val="22"/>
          <w:szCs w:val="22"/>
        </w:rPr>
        <w:t xml:space="preserve">1: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2: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3: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Approvals:</w:t>
      </w: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Requested By (Qualified Person):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Approved By (Safety Manager):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p>
      <w:r>
        <w:br w:type="page"/>
      </w:r>
    </w:p>
    <w:p>
      <w:pPr>
        <w:pStyle w:val="Heading1"/>
        <w:spacing w:after="40" w:before="360"/>
      </w:pPr>
      <w:r>
        <w:rPr>
          <w:rFonts w:ascii="Calibri" w:cs="Calibri" w:eastAsia="Calibri" w:hAnsi="Calibri"/>
          <w:b/>
          <w:bCs/>
          <w:color w:val="1B2A4A"/>
          <w:sz w:val="32"/>
          <w:szCs w:val="32"/>
        </w:rPr>
        <w:t xml:space="preserve">APPENDIX B: ELECTRICAL SAFETY INSPECTION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after="80" w:before="120"/>
      </w:pP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4D4D4" w:sz="1"/>
              <w:left w:val="single" w:color="D4D4D4" w:sz="1"/>
              <w:bottom w:val="single" w:color="D4D4D4" w:sz="1"/>
              <w:right w:val="single" w:color="D4D4D4" w:sz="1"/>
            </w:tcBorders>
            <w:shd w:fill="1B2A4A" w:val="clear"/>
            <w:tcMar>
              <w:top w:type="dxa" w:w="80"/>
              <w:left w:type="dxa" w:w="160"/>
              <w:bottom w:type="dxa" w:w="80"/>
              <w:right w:type="dxa" w:w="160"/>
            </w:tcMar>
          </w:tcPr>
          <w:p>
            <w:pPr>
              <w:jc w:val="center"/>
            </w:pPr>
            <w:r>
              <w:rPr>
                <w:rFonts w:ascii="Calibri" w:cs="Calibri" w:eastAsia="Calibri" w:hAnsi="Calibri"/>
                <w:b/>
                <w:bCs/>
                <w:color w:val="FFFFFF"/>
                <w:sz w:val="26"/>
                <w:szCs w:val="26"/>
              </w:rPr>
              <w:t xml:space="preserve">ELECTRICAL SAFETY INSPECTION CHECKLIST</w:t>
            </w:r>
          </w:p>
        </w:tc>
      </w:tr>
    </w:tbl>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Project / Location: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Inspector Name: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Title: </w:t>
            </w:r>
            <w:r>
              <w:rPr>
                <w:rFonts w:ascii="Calibri" w:cs="Calibri" w:eastAsia="Calibri" w:hAnsi="Calibri"/>
                <w:color w:val="D4D4D4"/>
                <w:sz w:val="22"/>
                <w:szCs w:val="22"/>
              </w:rPr>
              <w:t xml:space="preserve">____________________</w:t>
            </w:r>
          </w:p>
        </w:tc>
      </w:tr>
    </w:tbl>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General Electrical Safety:</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All electrical panels are accessible (36-inch clearance maintained)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Panel covers and doors are in place and closed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Circuit breakers and disconnects are properly labeled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evidence of overheating, burning, or smoke damage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Arc flash labels are present on all applicable equipment</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Approach boundary signage is posted where required</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Portable Equipment &amp; Extension Cords: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Extension cords are rated for hard or extra-hard usage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visible damage to cords (cuts, fraying, exposed conductors)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All cords have grounding prongs intact</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GFCIs are in use on all temporary circuits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GFCIs have been tested today</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Cords are protected from damage in traffic areas</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No cords run through doors, windows, or holes in walls/ceilings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Overhead Power Lines: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Minimum clearance distances are maintained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Warning signs/barriers in place where applicable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Spotters assigned for crane/equipment operations near power lines</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PPE &amp; Tools:</w:t>
      </w:r>
      <w:r>
        <w:rPr>
          <w:rFonts w:ascii="Calibri" w:cs="Calibri" w:eastAsia="Calibri" w:hAnsi="Calibri"/>
          <w:color w:val="1B2A4A"/>
          <w:sz w:val="22"/>
          <w:szCs w:val="22"/>
        </w:rPr>
        <w:t xml:space="preserve"/>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Insulated tools are in good condition (no cracks or damage)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Voltage-rated gloves are within test date</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Arc-rated clothing is clean and undamaged</w:t>
      </w:r>
    </w:p>
    <w:p>
      <w:pPr>
        <w:spacing w:after="60" w:before="60"/>
      </w:pPr>
      <w:r>
        <w:rPr>
          <w:rFonts w:ascii="Calibri" w:cs="Calibri" w:eastAsia="Calibri" w:hAnsi="Calibri"/>
          <w:color w:val="1B2A4A"/>
          <w:sz w:val="24"/>
          <w:szCs w:val="24"/>
        </w:rPr>
        <w:t xml:space="preserve">☐  </w:t>
      </w:r>
      <w:r>
        <w:rPr>
          <w:rFonts w:ascii="Calibri" w:cs="Calibri" w:eastAsia="Calibri" w:hAnsi="Calibri"/>
          <w:color w:val="1B2A4A"/>
          <w:sz w:val="22"/>
          <w:szCs w:val="22"/>
        </w:rPr>
        <w:t xml:space="preserve">Voltage detectors are functioning and calibrated</w:t>
      </w:r>
    </w:p>
    <w:p>
      <w:pPr>
        <w:spacing w:after="80" w:before="80"/>
        <w:jc w:val="left"/>
      </w:pPr>
      <w:r>
        <w:rPr>
          <w:rFonts w:ascii="Calibri" w:cs="Calibri" w:eastAsia="Calibri" w:hAnsi="Calibri"/>
          <w:color w:val="1B2A4A"/>
          <w:sz w:val="22"/>
          <w:szCs w:val="22"/>
        </w:rPr>
        <w:t xml:space="preserve"/>
      </w:r>
    </w:p>
    <w:p>
      <w:pPr>
        <w:spacing w:after="80" w:before="80"/>
        <w:jc w:val="left"/>
      </w:pPr>
      <w:r>
        <w:rPr>
          <w:rFonts w:ascii="Calibri" w:cs="Calibri" w:eastAsia="Calibri" w:hAnsi="Calibri"/>
          <w:color w:val="1B2A4A"/>
          <w:sz w:val="22"/>
          <w:szCs w:val="22"/>
        </w:rPr>
        <w:t xml:space="preserve"/>
      </w:r>
      <w:r>
        <w:rPr>
          <w:rFonts w:ascii="Calibri" w:cs="Calibri" w:eastAsia="Calibri" w:hAnsi="Calibri"/>
          <w:b/>
          <w:bCs/>
          <w:color w:val="1B2A4A"/>
          <w:sz w:val="22"/>
          <w:szCs w:val="22"/>
        </w:rPr>
        <w:t xml:space="preserve">Corrective Actions Required:</w:t>
      </w:r>
      <w:r>
        <w:rPr>
          <w:rFonts w:ascii="Calibri" w:cs="Calibri" w:eastAsia="Calibri" w:hAnsi="Calibri"/>
          <w:color w:val="1B2A4A"/>
          <w:sz w:val="22"/>
          <w:szCs w:val="22"/>
        </w:rPr>
        <w:t xml:space="preserve"/>
      </w:r>
    </w:p>
    <w:p>
      <w:pPr>
        <w:spacing w:after="40" w:before="140"/>
      </w:pPr>
      <w:r>
        <w:rPr>
          <w:rFonts w:ascii="Calibri" w:cs="Calibri" w:eastAsia="Calibri" w:hAnsi="Calibri"/>
          <w:b/>
          <w:bCs/>
          <w:color w:val="1B2A4A"/>
          <w:sz w:val="22"/>
          <w:szCs w:val="22"/>
        </w:rPr>
        <w:t xml:space="preserve">Item 1: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Item 2: </w:t>
      </w:r>
      <w:r>
        <w:rPr>
          <w:rFonts w:ascii="Calibri" w:cs="Calibri" w:eastAsia="Calibri" w:hAnsi="Calibri"/>
          <w:color w:val="D4D4D4"/>
          <w:sz w:val="22"/>
          <w:szCs w:val="22"/>
        </w:rPr>
        <w:t xml:space="preserve">________________________________________</w:t>
      </w:r>
    </w:p>
    <w:p>
      <w:pPr>
        <w:spacing w:after="40" w:before="140"/>
      </w:pPr>
      <w:r>
        <w:rPr>
          <w:rFonts w:ascii="Calibri" w:cs="Calibri" w:eastAsia="Calibri" w:hAnsi="Calibri"/>
          <w:b/>
          <w:bCs/>
          <w:color w:val="1B2A4A"/>
          <w:sz w:val="22"/>
          <w:szCs w:val="22"/>
        </w:rPr>
        <w:t xml:space="preserve">Item 3: </w:t>
      </w:r>
      <w:r>
        <w:rPr>
          <w:rFonts w:ascii="Calibri" w:cs="Calibri" w:eastAsia="Calibri" w:hAnsi="Calibri"/>
          <w:color w:val="D4D4D4"/>
          <w:sz w:val="22"/>
          <w:szCs w:val="22"/>
        </w:rPr>
        <w:t xml:space="preserve">________________________________________</w:t>
      </w:r>
    </w:p>
    <w:p>
      <w:pPr>
        <w:spacing w:after="80" w:before="80"/>
        <w:jc w:val="left"/>
      </w:pPr>
      <w:r>
        <w:rPr>
          <w:rFonts w:ascii="Calibri" w:cs="Calibri" w:eastAsia="Calibri" w:hAnsi="Calibri"/>
          <w:color w:val="1B2A4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Inspector Signature: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Supervisor Signature: </w:t>
            </w:r>
            <w:r>
              <w:rPr>
                <w:rFonts w:ascii="Calibri" w:cs="Calibri" w:eastAsia="Calibri" w:hAnsi="Calibri"/>
                <w:color w:val="D4D4D4"/>
                <w:sz w:val="22"/>
                <w:szCs w:val="22"/>
              </w:rPr>
              <w:t xml:space="preserve">____________________</w:t>
            </w:r>
          </w:p>
        </w:tc>
        <w:tc>
          <w:tcPr>
            <w:tcW w:type="dxa" w:w="4680"/>
            <w:tcBorders>
              <w:top w:val="none" w:color="FFFFFF" w:sz="0"/>
              <w:left w:val="none" w:color="FFFFFF" w:sz="0"/>
              <w:bottom w:val="none" w:color="FFFFFF" w:sz="0"/>
              <w:right w:val="none" w:color="FFFFFF" w:sz="0"/>
            </w:tcBorders>
          </w:tcPr>
          <w:p>
            <w:pPr>
              <w:spacing w:after="40" w:before="100"/>
            </w:pPr>
            <w:r>
              <w:rPr>
                <w:rFonts w:ascii="Calibri" w:cs="Calibri" w:eastAsia="Calibri" w:hAnsi="Calibri"/>
                <w:b/>
                <w:bCs/>
                <w:color w:val="1B2A4A"/>
                <w:sz w:val="22"/>
                <w:szCs w:val="22"/>
              </w:rPr>
              <w:t xml:space="preserve">Date: </w:t>
            </w:r>
            <w:r>
              <w:rPr>
                <w:rFonts w:ascii="Calibri" w:cs="Calibri" w:eastAsia="Calibri" w:hAnsi="Calibri"/>
                <w:color w:val="D4D4D4"/>
                <w:sz w:val="22"/>
                <w:szCs w:val="22"/>
              </w:rPr>
              <w:t xml:space="preserve">____________________</w:t>
            </w:r>
          </w:p>
        </w:tc>
      </w:tr>
    </w:tbl>
    <w:sectPr>
      <w:headerReference w:type="default" r:id="rId7"/>
      <w:footerReference w:type="default" r:id="rId8"/>
      <w:pgSz w:w="12240" w:h="15840" w:orient="portrait"/>
      <w:pgMar w:top="180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p>
    <w:pPr>
      <w:spacing w:before="60"/>
    </w:pPr>
  </w:p>
  <w:p>
    <w:pPr>
      <w:spacing w:after="0" w:before="0"/>
      <w:jc w:val="center"/>
    </w:pPr>
    <w:r>
      <w:rPr>
        <w:rFonts w:ascii="Calibri" w:cs="Calibri" w:eastAsia="Calibri" w:hAnsi="Calibri"/>
        <w:i/>
        <w:iCs/>
        <w:color w:val="1B2A4A"/>
        <w:sz w:val="16"/>
        <w:szCs w:val="16"/>
      </w:rPr>
      <w:t xml:space="preserve">[COMPANY NAME] — Electrical Safety Program</w:t>
    </w:r>
  </w:p>
  <w:p>
    <w:pPr>
      <w:spacing w:after="0" w:before="40"/>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80"/>
            <w:left w:type="dxa" w:w="160"/>
            <w:bottom w:type="dxa" w:w="40"/>
            <w:right w:type="dxa" w:w="160"/>
          </w:tcMar>
        </w:tcPr>
        <w:p>
          <w:pPr>
            <w:jc w:val="left"/>
          </w:pPr>
          <w:r>
            <w:rPr>
              <w:rFonts w:ascii="Calibri" w:cs="Calibri" w:eastAsia="Calibri" w:hAnsi="Calibri"/>
              <w:b/>
              <w:bCs/>
              <w:color w:val="FFFFFF"/>
              <w:sz w:val="20"/>
              <w:szCs w:val="20"/>
            </w:rPr>
            <w:t xml:space="preserve">FORBES SAFETY SOLUTIONS</w:t>
          </w:r>
        </w:p>
      </w:tc>
    </w:tr>
    <w:tr>
      <w:tc>
        <w:tcPr>
          <w:tcW w:type="dxa" w:w="9360"/>
          <w:tcBorders>
            <w:top w:val="none" w:color="FFFFFF" w:sz="0"/>
            <w:left w:val="none" w:color="FFFFFF" w:sz="0"/>
            <w:bottom w:val="none" w:color="FFFFFF" w:sz="0"/>
            <w:right w:val="none" w:color="FFFFFF" w:sz="0"/>
          </w:tcBorders>
          <w:shd w:fill="E8A838" w:val="clear"/>
          <w:tcMar>
            <w:top w:type="dxa" w:w="0"/>
            <w:left w:type="dxa" w:w="0"/>
            <w:bottom w:type="dxa" w:w="0"/>
            <w:right w:type="dxa" w:w="0"/>
          </w:tcMar>
        </w:tcPr>
        <w:p>
          <w:pPr>
            <w:spacing w:after="0" w:before="0"/>
          </w:pPr>
          <w:r>
            <w:rPr>
              <w:sz w:val="4"/>
              <w:szCs w:val="4"/>
            </w:rPr>
            <w:t xml:space="preserve"> </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bullet"/>
      <w:lvlText w:val="•"/>
      <w:lvlJc w:val="left"/>
      <w:pPr>
        <w:ind w:left="720" w:hanging="360"/>
      </w:pPr>
    </w:lvl>
  </w:abstractNum>
  <w:abstractNum w:abstractNumId="9" w15:restartNumberingAfterBreak="0">
    <w:multiLevelType w:val="hybridMultilevel"/>
    <w:lvl w:ilvl="0" w15:tentative="1">
      <w:start w:val="1"/>
      <w:numFmt w:val="bullet"/>
      <w:lvlText w:val="•"/>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bullet"/>
      <w:lvlText w:val="•"/>
      <w:lvlJc w:val="left"/>
      <w:pPr>
        <w:ind w:left="720" w:hanging="360"/>
      </w:pPr>
    </w:lvl>
  </w:abstractNum>
  <w:abstractNum w:abstractNumId="12" w15:restartNumberingAfterBreak="0">
    <w:multiLevelType w:val="hybridMultilevel"/>
    <w:lvl w:ilvl="0" w15:tentative="1">
      <w:start w:val="1"/>
      <w:numFmt w:val="bullet"/>
      <w:lvlText w:val="–"/>
      <w:lvlJc w:val="left"/>
      <w:pPr>
        <w:ind w:left="1080" w:hanging="360"/>
      </w:pPr>
    </w:lvl>
  </w:abstractNum>
  <w:abstractNum w:abstractNumId="13" w15:restartNumberingAfterBreak="0">
    <w:multiLevelType w:val="hybridMultilevel"/>
    <w:lvl w:ilvl="0" w15:tentative="1">
      <w:start w:val="1"/>
      <w:numFmt w:val="decimal"/>
      <w:lvlText w:val="%1."/>
      <w:lvlJc w:val="left"/>
      <w:pPr>
        <w:ind w:left="720" w:hanging="360"/>
      </w:pPr>
    </w:lvl>
  </w:abstractNum>
  <w:abstractNum w:abstractNumId="14" w15:restartNumberingAfterBreak="0">
    <w:multiLevelType w:val="hybridMultilevel"/>
    <w:lvl w:ilvl="0" w15:tentative="1">
      <w:start w:val="1"/>
      <w:numFmt w:val="decimal"/>
      <w:lvlText w:val="%1."/>
      <w:lvlJc w:val="left"/>
      <w:pPr>
        <w:ind w:left="720" w:hanging="360"/>
      </w:pPr>
    </w:lvl>
  </w:abstractNum>
  <w:abstractNum w:abstractNumId="15" w15:restartNumberingAfterBreak="0">
    <w:multiLevelType w:val="hybridMultilevel"/>
    <w:lvl w:ilvl="0" w15:tentative="1">
      <w:start w:val="1"/>
      <w:numFmt w:val="decimal"/>
      <w:lvlText w:val="%1."/>
      <w:lvlJc w:val="left"/>
      <w:pPr>
        <w:ind w:left="720" w:hanging="360"/>
      </w:pPr>
    </w:lvl>
  </w:abstractNum>
  <w:abstractNum w:abstractNumId="16" w15:restartNumberingAfterBreak="0">
    <w:multiLevelType w:val="hybridMultilevel"/>
    <w:lvl w:ilvl="0" w15:tentative="1">
      <w:start w:val="1"/>
      <w:numFmt w:val="decimal"/>
      <w:lvlText w:val="%1."/>
      <w:lvlJc w:val="left"/>
      <w:pPr>
        <w:ind w:left="720" w:hanging="360"/>
      </w:pPr>
    </w:lvl>
  </w:abstractNum>
  <w:abstractNum w:abstractNumId="17" w15:restartNumberingAfterBreak="0">
    <w:multiLevelType w:val="hybridMultilevel"/>
    <w:lvl w:ilvl="0" w15:tentative="1">
      <w:start w:val="1"/>
      <w:numFmt w:val="decimal"/>
      <w:lvlText w:val="%1."/>
      <w:lvlJc w:val="left"/>
      <w:pPr>
        <w:ind w:left="720" w:hanging="360"/>
      </w:pPr>
    </w:lvl>
  </w:abstractNum>
  <w:abstractNum w:abstractNumId="18" w15:restartNumberingAfterBreak="0">
    <w:multiLevelType w:val="hybridMultilevel"/>
    <w:lvl w:ilvl="0" w15:tentative="1">
      <w:start w:val="1"/>
      <w:numFmt w:val="low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3"/>
    <w:lvlOverride w:ilvl="0">
      <w:startOverride w:val="1"/>
    </w:lvlOverride>
  </w:num>
  <w:num w:numId="11">
    <w:abstractNumId w:val="10"/>
    <w:lvlOverride w:ilvl="0">
      <w:startOverride w:val="1"/>
    </w:lvlOverride>
  </w:num>
  <w:num w:numId="12">
    <w:abstractNumId w:val="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A4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20"/>
      <w:outlineLvl w:val="2"/>
    </w:pPr>
    <w:rPr>
      <w:rFonts w:ascii="Calibri" w:cs="Calibri" w:eastAsia="Calibri" w:hAnsi="Calibri"/>
      <w:b/>
      <w:bCs/>
      <w:color w:val="1B2A4A"/>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2026-03-15T23:09:25.111Z</dcterms:created>
  <dcterms:modified xsi:type="dcterms:W3CDTF">2026-03-15T23:09:25.111Z</dcterms:modified>
</cp:coreProperties>
</file>

<file path=docProps/custom.xml><?xml version="1.0" encoding="utf-8"?>
<Properties xmlns="http://schemas.openxmlformats.org/officeDocument/2006/custom-properties" xmlns:vt="http://schemas.openxmlformats.org/officeDocument/2006/docPropsVTypes"/>
</file>