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20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1B2A4A" w:sz="0"/>
              <w:left w:val="none" w:color="1B2A4A" w:sz="0"/>
              <w:bottom w:val="single" w:color="E8A838" w:sz="8"/>
              <w:right w:val="none" w:color="1B2A4A" w:sz="0"/>
            </w:tcBorders>
            <w:shd w:fill="1B2A4A" w:val="clear"/>
            <w:tcMar>
              <w:top w:type="dxa" w:w="300"/>
              <w:left w:type="dxa" w:w="200"/>
              <w:bottom w:type="dxa" w:w="300"/>
              <w:right w:type="dxa" w:w="200"/>
            </w:tcMar>
          </w:tcPr>
          <w:p>
            <w:pPr>
              <w:spacing w:after="8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E8A838"/>
                <w:sz w:val="36"/>
                <w:szCs w:val="36"/>
              </w:rPr>
              <w:t xml:space="preserve">FORBES SAFETY SOLUTIONS</w:t>
            </w:r>
          </w:p>
        </w:tc>
      </w:tr>
    </w:tbl>
    <w:p>
      <w:pPr>
        <w:spacing w:after="0" w:before="500"/>
      </w:pP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1B2A4A"/>
          <w:sz w:val="52"/>
          <w:szCs w:val="52"/>
        </w:rPr>
        <w:t xml:space="preserve">Electrical Grounding
&amp; Bonding Program</w:t>
      </w:r>
    </w:p>
    <w:p>
      <w:pPr>
        <w:spacing w:after="100"/>
        <w:jc w:val="center"/>
      </w:pPr>
      <w:r>
        <w:rPr>
          <w:rFonts w:ascii="Calibri" w:cs="Calibri" w:eastAsia="Calibri" w:hAnsi="Calibri"/>
          <w:color w:val="666666"/>
          <w:sz w:val="28"/>
          <w:szCs w:val="28"/>
        </w:rPr>
        <w:t xml:space="preserve">GFCI Protection, AEGCP &amp; Equipment Grounding Requirements</w:t>
      </w:r>
    </w:p>
    <w:tbl>
      <w:tblPr>
        <w:tblW w:type="dxa" w:w="3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</w:tblGrid>
      <w:tr>
        <w:tc>
          <w:tcPr>
            <w:tcW w:type="dxa" w:w="300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4"/>
                <w:szCs w:val="4"/>
              </w:rPr>
              <w:t xml:space="preserve"/>
            </w:r>
          </w:p>
        </w:tc>
      </w:tr>
    </w:tbl>
    <w:p>
      <w:pPr>
        <w:spacing w:after="0" w:before="400"/>
      </w:pPr>
    </w:p>
    <w:p>
      <w:pPr>
        <w:spacing w:after="100"/>
        <w:jc w:val="center"/>
      </w:pPr>
      <w:r>
        <w:rPr>
          <w:rFonts w:ascii="Calibri" w:cs="Calibri" w:eastAsia="Calibri" w:hAnsi="Calibri"/>
          <w:color w:val="666666"/>
          <w:sz w:val="24"/>
          <w:szCs w:val="24"/>
        </w:rPr>
        <w:t xml:space="preserve">Prepared for: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[COMPANY NAME]</w:t>
      </w:r>
    </w:p>
    <w:p>
      <w:pPr>
        <w:spacing w:after="100"/>
        <w:jc w:val="center"/>
      </w:pPr>
      <w:r>
        <w:rPr>
          <w:rFonts w:ascii="Calibri" w:cs="Calibri" w:eastAsia="Calibri" w:hAnsi="Calibri"/>
          <w:color w:val="666666"/>
          <w:sz w:val="20"/>
          <w:szCs w:val="20"/>
        </w:rPr>
        <w:t xml:space="preserve">Reference Standards:</w:t>
      </w:r>
    </w:p>
    <w:p>
      <w:pPr>
        <w:spacing w:after="200"/>
        <w:jc w:val="center"/>
      </w:pPr>
      <w:r>
        <w:rPr>
          <w:rFonts w:ascii="Calibri" w:cs="Calibri" w:eastAsia="Calibri" w:hAnsi="Calibri"/>
          <w:i/>
          <w:iCs/>
          <w:color w:val="666666"/>
          <w:sz w:val="20"/>
          <w:szCs w:val="20"/>
        </w:rPr>
        <w:t xml:space="preserve">29 CFR 1926.404-405 | NFPA 70 (NEC) | NFPA 70E</w:t>
      </w:r>
    </w:p>
    <w:p>
      <w:pPr>
        <w:spacing w:after="0" w:before="600"/>
      </w:pPr>
    </w:p>
    <w:p>
      <w:pPr>
        <w:spacing w:after="60"/>
        <w:jc w:val="center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Date: [DATE]  |  Revision: [REV NUMBER]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Table of Contents</w:t>
      </w:r>
    </w:p>
    <w:sdt>
      <w:sdtPr>
        <w:alias w:val="Table of Contents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1. Purpose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This Electrical Grounding and Bonding Program establishes requirements for the proper grounding and bonding of electrical equipment and systems at [COMPANY NAME] construction sites and facilities. This program ensures compliance with 29 CFR 1926.404-405, NFPA 70 (National Electrical Code), and NFPA 70E (Standard for Electrical Safety in the Workplace).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Proper grounding and bonding protects employees from electrical shock, electrocution, and fire hazards by providing a low-impedance path for fault currents to safely return to the source and trip protective devices.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2. Scope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This program applies to all [COMPANY NAME] construction sites, temporary wiring installations, and operations where portable electric tools, equipment, and extension cords are used. It covers: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Ground-fault circuit interrupter (GFCI) protection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Assured Equipment Grounding Conductor Program (AEGCP) as an alternative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Equipment grounding requirements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Temporary wiring installations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Extension cord use and inspection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Double-insulated tool identification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3. Responsibilities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3.1 Management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Provide GFCI-protected outlets or fund the AEGCP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Ensure adequate electrical testing equipment is available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Support program enforcement and employee training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3.2 Safety Manager / Competent Person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Develop and maintain this program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Designate a competent person to implement the AEGCP (if used)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Conduct or oversee required electrical testing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Maintain all test logs and inspection records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Conduct employee training on electrical safety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3.3 Designated Competent Person (AEGCP)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Per 29 CFR 1926.404(b)(1)(iii), when the AEGCP is implemented in lieu of GFCIs, a designated competent person shall: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Implement and oversee the daily testing and inspection program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Conduct or supervise all required equipment grounding conductor tests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Maintain written test records and inspection logs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Remove defective equipment from service immediately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3.4 Supervisors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Ensure GFCI protection is used or AEGCP is in effect before work begins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Monitor employees for proper cord and equipment use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Report defective equipment and remove from service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3.5 Employees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Use GFCI-protected outlets for all 120-volt, single-phase, 15- and 20-ampere receptacle outlets on construction sites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Visually inspect cords and equipment daily before use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Report defective equipment immediately; do not use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Never remove or bypass the ground prong on a plug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4. Equipment Grounding Requirements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4.1 General Requirements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Per 29 CFR 1926.404(f), the following equipment must be grounded: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All 120-volt, single-phase, 15- and 20-ampere receptacle outlets on construction sites that are not part of the permanent wiring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All frames of non-current-carrying metal parts of portable and plug-connected equipment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All cord sets (extension cords) must have an equipment grounding conductor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Generator frames must be grounded to the system ground unless meeting specific isolation exceptions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4.2 Ground-Fault Protection Methods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[COMPANY NAME] shall use one of the following two methods for ground-fault protection on construction sites per 29 CFR 1926.404(b)(1):</w:t>
      </w: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Option 1: Ground-Fault Circuit Interrupters (GFCIs)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All 120-volt, single-phase, 15- and 20-ampere receptacle outlets that are not part of the permanent wiring must be protected by GFCIs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GFCIs detect imbalances as low as 4–6 milliamps and disconnect power in 1/40th of a second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GFCI protection may be provided by GFCI-protected receptacles, portable GFCI devices, or GFCI breakers</w:t>
      </w:r>
    </w:p>
    <w:p>
      <w:pPr>
        <w:spacing w:before="100"/>
      </w:pP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Option 2: Assured Equipment Grounding Conductor Program (AEGCP)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An alternative to GFCIs that relies on a rigorous testing and inspection program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Requires a designated competent person to administer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See Section 5 for detailed AEGCP requirements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5. Assured Equipment Grounding Conductor Program (AEGCP)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When [COMPANY NAME] elects to use the AEGCP as an alternative to GFCI protection per 29 CFR 1926.404(b)(1)(iii), the following requirements apply: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5.1 Written Program Requirements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The AEGCP must be in writing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The written program must be available on the job site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 designated competent person must be responsible for the program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The program must cover all cord sets, receptacles not part of permanent wiring, and equipment connected by cord and plug that are available for use or used by employees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5.2 Testing Requirements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The following tests must be performed on all covered equipment and cord sets: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4400"/>
        <w:gridCol w:w="2760"/>
      </w:tblGrid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Test Type</w:t>
            </w:r>
          </w:p>
        </w:tc>
        <w:tc>
          <w:tcPr>
            <w:tcW w:type="dxa" w:w="4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Requirement</w:t>
            </w:r>
          </w:p>
        </w:tc>
        <w:tc>
          <w:tcPr>
            <w:tcW w:type="dxa" w:w="2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Frequency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Continuity Test</w:t>
            </w:r>
          </w:p>
        </w:tc>
        <w:tc>
          <w:tcPr>
            <w:tcW w:type="dxa" w:w="4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Verify the equipment grounding conductor is electrically continuous from the tool/equipment through the cord to the plug ground prong</w:t>
            </w:r>
          </w:p>
        </w:tc>
        <w:tc>
          <w:tcPr>
            <w:tcW w:type="dxa" w:w="2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Before first use, after repair, and every 3 months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Ground Prong Test</w:t>
            </w:r>
          </w:p>
        </w:tc>
        <w:tc>
          <w:tcPr>
            <w:tcW w:type="dxa" w:w="4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Verify the ground prong is present, not bent or broken, and makes proper contact</w:t>
            </w:r>
          </w:p>
        </w:tc>
        <w:tc>
          <w:tcPr>
            <w:tcW w:type="dxa" w:w="2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Before first use, after repair, and every 3 months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Terminal Connection Test</w:t>
            </w:r>
          </w:p>
        </w:tc>
        <w:tc>
          <w:tcPr>
            <w:tcW w:type="dxa" w:w="4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Verify proper connections of the equipment grounding conductor at the tool and at all plug/receptacle connections</w:t>
            </w:r>
          </w:p>
        </w:tc>
        <w:tc>
          <w:tcPr>
            <w:tcW w:type="dxa" w:w="2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Before first use, after repair, and every 3 months</w:t>
            </w:r>
          </w:p>
        </w:tc>
      </w:tr>
    </w:tbl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5.3 Testing Frequency Summary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Before first use on a job site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Before return to use after any repairs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Before use after any incident that could have caused damage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At intervals not exceeding 3 months (quarterly)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Note: More frequent testing may be warranted in harsh environments or where damage is likely.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5.4 Testing Procedures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Use a circuit tester or continuity tester approved for the purpose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Test from the ground pin of the plug to the exposed metal frame of the tool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Resistance should read near zero ohms (typically &lt;1 ohm for continuity)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For receptacles: test from the ground slot to the ground bus in the distribution panel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Record all test results on the AEGCP Test Log (Appendix A)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5.5 Color Coding / Identification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Equipment and cord sets that pass testing must be identified by a color-coded marking system: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3500"/>
        <w:gridCol w:w="3860"/>
      </w:tblGrid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Quarter</w:t>
            </w:r>
          </w:p>
        </w:tc>
        <w:tc>
          <w:tcPr>
            <w:tcW w:type="dxa" w:w="3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Period</w:t>
            </w:r>
          </w:p>
        </w:tc>
        <w:tc>
          <w:tcPr>
            <w:tcW w:type="dxa" w:w="3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Color Code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Q1</w:t>
            </w:r>
          </w:p>
        </w:tc>
        <w:tc>
          <w:tcPr>
            <w:tcW w:type="dxa" w:w="3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January – March</w:t>
            </w:r>
          </w:p>
        </w:tc>
        <w:tc>
          <w:tcPr>
            <w:tcW w:type="dxa" w:w="3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[COMPANY DESIGNATED COLOR]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Q2</w:t>
            </w:r>
          </w:p>
        </w:tc>
        <w:tc>
          <w:tcPr>
            <w:tcW w:type="dxa" w:w="3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April – June</w:t>
            </w:r>
          </w:p>
        </w:tc>
        <w:tc>
          <w:tcPr>
            <w:tcW w:type="dxa" w:w="3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[COMPANY DESIGNATED COLOR]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Q3</w:t>
            </w:r>
          </w:p>
        </w:tc>
        <w:tc>
          <w:tcPr>
            <w:tcW w:type="dxa" w:w="3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July – September</w:t>
            </w:r>
          </w:p>
        </w:tc>
        <w:tc>
          <w:tcPr>
            <w:tcW w:type="dxa" w:w="3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[COMPANY DESIGNATED COLOR]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Q4</w:t>
            </w:r>
          </w:p>
        </w:tc>
        <w:tc>
          <w:tcPr>
            <w:tcW w:type="dxa" w:w="3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October – December</w:t>
            </w:r>
          </w:p>
        </w:tc>
        <w:tc>
          <w:tcPr>
            <w:tcW w:type="dxa" w:w="3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[COMPANY DESIGNATED COLOR]</w:t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Equipment that has not been tested or has failed testing shall NOT have the current quarter color code applied and shall be removed from service.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6. Visual Inspections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In addition to the AEGCP testing, all employees shall perform visual inspections of electrical equipment and cords before each use: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Check for external defects — fraying, exposed conductors, cut or damaged outer jacket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Verify ground prong is intact and not bent or missing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Check plug and connector housing for cracks or damage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Verify strain relief is intact at both ends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Check for signs of overheating (discoloration, melting, burning smell)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Inspect tool housing for cracks that expose internal components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Any cord or equipment failing visual inspection shall be immediately removed from service, tagged "DEFECTIVE — DO NOT USE," and reported to the supervisor.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7. Ground Fault Interrupters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When GFCIs are used as the primary protection method: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Test GFCI devices before each day's use by pressing the "TEST" button to verify the device trips, then pressing "RESET"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GFCI devices that do not trip during the test shall be removed from service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Use GFCI protection on all generators used on construction sites for 15- and 20-amp, 120-volt circuits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Portable GFCI devices must be connected directly to the outlet — not on extension cords downstream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Replace GFCI devices that show signs of damage or malfunction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8. Temporary Wiring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Temporary wiring installations on construction sites shall comply with 29 CFR 1926.405(a):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Temporary wiring is permitted during construction, remodeling, maintenance, or demolition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All temporary wiring shall be removed immediately upon completion of the project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Receptacles shall be of the grounding type and connected to a ground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Branch circuits must have an equipment grounding conductor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Temporary lights must be protected by guards unless bulbs are deeply recessed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Temporary lights must not be suspended by their cords unless designed for that purpose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Splices in temporary wiring must have insulation equivalent to the cord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Lamps for general illumination must be protected from contact and breakage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9. Extension Cord Requirements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Extension cords (cord sets) used on [COMPANY NAME] job sites must meet the following requirements: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Three-wire type (hot, neutral, ground) with an equipment grounding conductor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Listed or labeled by a nationally recognized testing laboratory (UL, CSA, ETL)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Rated for hard or extra-hard usage (SO, SOW, ST, STW, or equivalent designations)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Proper wire gauge for the load and length (e.g., 12 AWG minimum for 100-foot runs at 15 amps)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Must be protected from damage — not run through doorways, windows, or holes unless protected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Must not be fastened with staples, hung from nails, or suspended by the cord unless designed for it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Must be used within rated capacity — never daisy-chain multiple extension cords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Ground prong must NEVER be removed, bent back, or bypassed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10. Double-Insulated Tool Identification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Double-insulated tools are an acceptable alternative to equipment grounding per 29 CFR 1926.404(f)(3)(i):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Double-insulated tools are identified by the "double square" symbol (□ within □) on the tool nameplate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These tools have two-prong plugs (no ground prong) and do not require grounding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The outer housing provides a second layer of insulation beyond the normal internal insulation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Double-insulated tools must still be visually inspected before use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If the outer housing is cracked or damaged, the tool shall be removed from service — the secondary insulation has been compromised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Double-insulated tools should not be used in wet conditions without additional GFCI protection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11. Training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All employees who use portable electrical tools, equipment, or extension cords shall be trained on: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Electrical hazards (shock, electrocution, arc flash, fire)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The purpose and function of equipment grounding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GFCI operation, testing, and use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AEGCP requirements (if applicable to the job site)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Visual inspection procedures for cords and equipment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Extension cord requirements and limitations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Identification of double-insulated tools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Reporting procedures for defective equipment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Emergency procedures for electrical incidents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Training shall be provided before initial assignment and refreshed annually or when site conditions change.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12. Recordkeeping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AEGCP test logs (retain for duration of project plus 3 years)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Equipment and cord inspection logs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GFCI test documentation (daily test records)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Employee training records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Records of defective equipment removed from service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Appendix A: AEGCP Test Log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Job Site / Location: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Competent Person: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Testing Quarter / Period: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Color Code for This Quarter: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before="200"/>
      </w:pPr>
    </w:p>
    <w:tbl>
      <w:tblPr>
        <w:tblW w:type="dxa" w:w="8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1100"/>
        <w:gridCol w:w="1400"/>
        <w:gridCol w:w="900"/>
        <w:gridCol w:w="900"/>
        <w:gridCol w:w="900"/>
        <w:gridCol w:w="800"/>
        <w:gridCol w:w="900"/>
        <w:gridCol w:w="660"/>
      </w:tblGrid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Equipment / Cord ID</w:t>
            </w:r>
          </w:p>
        </w:tc>
        <w:tc>
          <w:tcPr>
            <w:tcW w:type="dxa" w:w="1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Description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Continuity OK?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Ground Prong OK?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Connections OK?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Pass/Fail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Color Applied</w:t>
            </w:r>
          </w:p>
        </w:tc>
        <w:tc>
          <w:tcPr>
            <w:tcW w:type="dxa" w:w="6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Tester Initials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6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6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6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6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6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6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6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6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6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6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6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6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00"/>
      </w:pP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Equipment Failing Test — Corrective Action: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__________________________________________________________________________</w:t>
      </w:r>
    </w:p>
    <w:p>
      <w:pPr>
        <w:spacing w:after="60" w:before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Competent Person Signature: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________________________________________</w:t>
      </w:r>
    </w:p>
    <w:p>
      <w:pPr>
        <w:spacing w:after="60" w:before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Date: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________________________________________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Appendix B: Extension Cord / Equipment Inspection Log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Job Site / Location: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Inspector 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Date: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before="200"/>
      </w:pP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Daily Visual Inspection Record:</w:t>
      </w:r>
    </w:p>
    <w:tbl>
      <w:tblPr>
        <w:tblW w:type="dxa" w:w="8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1200"/>
        <w:gridCol w:w="1000"/>
        <w:gridCol w:w="900"/>
        <w:gridCol w:w="900"/>
        <w:gridCol w:w="1100"/>
        <w:gridCol w:w="900"/>
        <w:gridCol w:w="800"/>
        <w:gridCol w:w="760"/>
      </w:tblGrid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Cord / Equipment ID</w:t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Jacket OK?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Ground Prong?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Plug/Connector OK?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Strain Relief?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Pass/Fail</w:t>
            </w:r>
          </w:p>
        </w:tc>
        <w:tc>
          <w:tcPr>
            <w:tcW w:type="dxa" w:w="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Inspector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9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00"/>
      </w:pP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Items Removed from Service: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1800"/>
        <w:gridCol w:w="2400"/>
        <w:gridCol w:w="2200"/>
        <w:gridCol w:w="1760"/>
      </w:tblGrid>
      <w:tr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Cord / Equipment ID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Reason Removed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Disposition (Repair/Destroy)</w:t>
            </w:r>
          </w:p>
        </w:tc>
        <w:tc>
          <w:tcPr>
            <w:tcW w:type="dxa" w:w="1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Follow-Up Date</w:t>
            </w:r>
          </w:p>
        </w:tc>
      </w:tr>
      <w:tr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00"/>
      </w:pPr>
    </w:p>
    <w:p>
      <w:pPr>
        <w:spacing w:after="60" w:before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Inspector Signature: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________________________________________</w:t>
      </w:r>
    </w:p>
    <w:p>
      <w:pPr>
        <w:spacing w:after="60" w:before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Date: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________________________________________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before="0"/>
      <w:jc w:val="center"/>
    </w:pPr>
    <w:r>
      <w:rPr>
        <w:rFonts w:ascii="Calibri" w:cs="Calibri" w:eastAsia="Calibri" w:hAnsi="Calibri"/>
        <w:color w:val="999999"/>
        <w:sz w:val="16"/>
        <w:szCs w:val="16"/>
      </w:rPr>
      <w:t xml:space="preserve">Electrical Grounding &amp; Bonding Program  |  </w:t>
    </w:r>
    <w:r>
      <w:rPr>
        <w:rFonts w:ascii="Calibri" w:cs="Calibri" w:eastAsia="Calibri" w:hAnsi="Calibri"/>
        <w:color w:val="999999"/>
        <w:sz w:val="16"/>
        <w:szCs w:val="16"/>
      </w:rPr>
      <w:t xml:space="preserve">[COMPANY NAME]</w:t>
    </w:r>
    <w:r>
      <w:rPr>
        <w:rFonts w:ascii="Calibri" w:cs="Calibri" w:eastAsia="Calibri" w:hAnsi="Calibri"/>
        <w:color w:val="999999"/>
        <w:sz w:val="16"/>
        <w:szCs w:val="16"/>
      </w:rPr>
      <w:t xml:space="preserve">  |  Page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999999"/>
        <w:sz w:val="16"/>
        <w:szCs w:val="16"/>
      </w:rPr>
      <w:t xml:space="preserve"> of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6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9360"/>
    </w:tblGrid>
    <w:tr>
      <w:tc>
        <w:tcPr>
          <w:tcW w:type="dxa" w:w="9360"/>
          <w:tcBorders>
            <w:top w:val="none" w:color="1B2A4A" w:sz="0"/>
            <w:left w:val="none" w:color="1B2A4A" w:sz="0"/>
            <w:bottom w:val="single" w:color="E8A838" w:sz="6"/>
            <w:right w:val="none" w:color="1B2A4A" w:sz="0"/>
          </w:tcBorders>
          <w:shd w:fill="1B2A4A" w:val="clear"/>
          <w:tcMar>
            <w:top w:type="dxa" w:w="60"/>
            <w:left w:type="dxa" w:w="120"/>
            <w:bottom w:type="dxa" w:w="60"/>
            <w:right w:type="dxa" w:w="120"/>
          </w:tcMar>
        </w:tcPr>
        <w:p>
          <w:pPr>
            <w:jc w:val="left"/>
          </w:pPr>
          <w:r>
            <w:rPr>
              <w:rFonts w:ascii="Calibri" w:cs="Calibri" w:eastAsia="Calibri" w:hAnsi="Calibri"/>
              <w:b/>
              <w:bCs/>
              <w:color w:val="FFFFFF"/>
              <w:sz w:val="20"/>
              <w:szCs w:val="20"/>
            </w:rPr>
            <w:t xml:space="preserve">FORBES SAFETY SOLUTIONS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  <w:lvl w:ilvl="1" w15:tentative="1">
      <w:start w:val="1"/>
      <w:numFmt w:val="lowerLetter"/>
      <w:lvlText w:val="%2.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33333"/>
        <w:sz w:val="22"/>
        <w:szCs w:val="22"/>
      </w:rPr>
    </w:rPrDefault>
    <w:pPrDefault>
      <w:pPr>
        <w:spacing w:after="120"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Calibri" w:cs="Calibri" w:eastAsia="Calibri" w:hAnsi="Calibri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80"/>
      <w:outlineLvl w:val="1"/>
    </w:pPr>
    <w:rPr>
      <w:rFonts w:ascii="Calibri" w:cs="Calibri" w:eastAsia="Calibri" w:hAnsi="Calibri"/>
      <w:b/>
      <w:bCs/>
      <w:color w:val="1B2A4A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100" w:before="240"/>
      <w:outlineLvl w:val="2"/>
    </w:pPr>
    <w:rPr>
      <w:rFonts w:ascii="Calibri" w:cs="Calibri" w:eastAsia="Calibri" w:hAnsi="Calibri"/>
      <w:b/>
      <w:bCs/>
      <w:color w:val="1B2A4A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2026-03-16T00:34:07.901Z</dcterms:created>
  <dcterms:modified xsi:type="dcterms:W3CDTF">2026-03-16T00:34:07.901Z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