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0" w:before="200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1B2A4A" w:val="clear"/>
            <w:tcMar>
              <w:top w:type="dxa" w:w="300"/>
              <w:left w:type="dxa" w:w="300"/>
              <w:bottom w:type="dxa" w:w="300"/>
              <w:right w:type="dxa" w:w="300"/>
            </w:tcMar>
          </w:tcPr>
          <w:p>
            <w:pPr>
              <w:jc w:val="center"/>
            </w:pPr>
            <w:r>
              <w:rPr>
                <w:rFonts w:ascii="Calibri" w:cs="Calibri" w:eastAsia="Calibri" w:hAnsi="Calibri"/>
                <w:b/>
                <w:bCs/>
                <w:color w:val="FFFFFF"/>
                <w:sz w:val="36"/>
                <w:szCs w:val="36"/>
              </w:rPr>
              <w:t xml:space="preserve">FORBES SAFETY SOLUTIONS</w:t>
            </w:r>
          </w:p>
        </w:tc>
      </w:tr>
      <w:tr>
        <w:tc>
          <w:tcPr>
            <w:tcW w:type="dxa" w:w="9360"/>
            <w:tcBorders>
              <w:top w:val="none" w:color="FFFFFF" w:sz="0"/>
              <w:left w:val="none" w:color="FFFFFF" w:sz="0"/>
              <w:bottom w:val="none" w:color="FFFFFF" w:sz="0"/>
              <w:right w:val="none" w:color="FFFFFF" w:sz="0"/>
            </w:tcBorders>
            <w:shd w:fill="E8A838" w:val="clear"/>
            <w:tcMar>
              <w:top w:type="dxa" w:w="0"/>
              <w:left w:type="dxa" w:w="0"/>
              <w:bottom w:type="dxa" w:w="0"/>
              <w:right w:type="dxa" w:w="0"/>
            </w:tcMar>
          </w:tcPr>
          <w:p>
            <w:pPr>
              <w:spacing w:after="0" w:before="0"/>
            </w:pPr>
            <w:r>
              <w:rPr>
                <w:sz w:val="8"/>
                <w:szCs w:val="8"/>
              </w:rPr>
              <w:t xml:space="preserve"> </w:t>
            </w:r>
          </w:p>
        </w:tc>
      </w:tr>
    </w:tbl>
    <w:p>
      <w:pPr>
        <w:spacing w:after="0" w:before="600"/>
      </w:pPr>
    </w:p>
    <w:p>
      <w:pPr>
        <w:spacing w:after="100" w:before="200"/>
        <w:jc w:val="center"/>
      </w:pPr>
      <w:r>
        <w:rPr>
          <w:rFonts w:ascii="Calibri" w:cs="Calibri" w:eastAsia="Calibri" w:hAnsi="Calibri"/>
          <w:b/>
          <w:bCs/>
          <w:color w:val="1B2A4A"/>
          <w:sz w:val="48"/>
          <w:szCs w:val="48"/>
        </w:rPr>
        <w:t xml:space="preserve">Hydrogen Sulfide (H2S) Safety Program</w:t>
      </w:r>
    </w:p>
    <w:p>
      <w:pPr>
        <w:spacing w:after="200" w:before="100"/>
        <w:jc w:val="center"/>
      </w:pPr>
      <w:r>
        <w:rPr>
          <w:rFonts w:ascii="Calibri" w:cs="Calibri" w:eastAsia="Calibri" w:hAnsi="Calibri"/>
          <w:i/>
          <w:iCs/>
          <w:color w:val="E8A838"/>
          <w:sz w:val="28"/>
          <w:szCs w:val="28"/>
        </w:rPr>
        <w:t xml:space="preserve">Exposure Prevention, Monitoring &amp; Emergency Response</w:t>
      </w:r>
    </w:p>
    <w:p>
      <w:pPr>
        <w:spacing w:after="0" w:before="600"/>
      </w:pPr>
    </w:p>
    <w:tbl>
      <w:tblPr>
        <w:tblW w:type="dxa" w:w="6000"/>
        <w:tblBorders>
          <w:top w:val="single" w:color="auto" w:sz="4"/>
          <w:left w:val="single" w:color="auto" w:sz="4"/>
          <w:bottom w:val="single" w:color="auto" w:sz="4"/>
          <w:right w:val="single" w:color="auto" w:sz="4"/>
          <w:insideH w:val="single" w:color="auto" w:sz="4"/>
          <w:insideV w:val="single" w:color="auto" w:sz="4"/>
        </w:tblBorders>
      </w:tblPr>
      <w:tblGrid>
        <w:gridCol w:w="2400"/>
        <w:gridCol w:w="3600"/>
      </w:tblGrid>
      <w:tr>
        <w:tc>
          <w:tcPr>
            <w:tcW w:type="dxa" w:w="2400"/>
            <w:tcBorders>
              <w:top w:val="none" w:color="FFFFFF" w:sz="0"/>
              <w:left w:val="none" w:color="FFFFFF" w:sz="0"/>
              <w:bottom w:val="none" w:color="FFFFFF" w:sz="0"/>
              <w:right w:val="none" w:color="FFFFFF" w:sz="0"/>
            </w:tcBorders>
            <w:tcMar>
              <w:top w:type="dxa" w:w="40"/>
              <w:left w:type="dxa" w:w="80"/>
              <w:bottom w:type="dxa" w:w="40"/>
              <w:right w:type="dxa" w:w="80"/>
            </w:tcMar>
          </w:tcPr>
          <w:p>
            <w:r>
              <w:rPr>
                <w:rFonts w:ascii="Calibri" w:cs="Calibri" w:eastAsia="Calibri" w:hAnsi="Calibri"/>
                <w:b/>
                <w:bCs/>
                <w:color w:val="1B2A4A"/>
                <w:sz w:val="22"/>
                <w:szCs w:val="22"/>
              </w:rPr>
              <w:t xml:space="preserve">Company:</w:t>
            </w:r>
          </w:p>
        </w:tc>
        <w:tc>
          <w:tcPr>
            <w:tcW w:type="dxa" w:w="3600"/>
            <w:tcBorders>
              <w:top w:val="none" w:color="FFFFFF" w:sz="0"/>
              <w:left w:val="none" w:color="FFFFFF" w:sz="0"/>
              <w:bottom w:val="single" w:color="E8A838" w:sz="1"/>
              <w:right w:val="none" w:color="FFFFFF" w:sz="0"/>
            </w:tcBorders>
            <w:tcMar>
              <w:top w:type="dxa" w:w="40"/>
              <w:left w:type="dxa" w:w="80"/>
              <w:bottom w:type="dxa" w:w="40"/>
              <w:right w:type="dxa" w:w="80"/>
            </w:tcMar>
          </w:tcPr>
          <w:p>
            <w:r>
              <w:rPr>
                <w:rFonts w:ascii="Calibri" w:cs="Calibri" w:eastAsia="Calibri" w:hAnsi="Calibri"/>
                <w:color w:val="333333"/>
                <w:sz w:val="22"/>
                <w:szCs w:val="22"/>
              </w:rPr>
              <w:t xml:space="preserve">[COMPANY NAME]</w:t>
            </w:r>
          </w:p>
        </w:tc>
      </w:tr>
      <w:tr>
        <w:tc>
          <w:tcPr>
            <w:tcW w:type="dxa" w:w="2400"/>
            <w:tcBorders>
              <w:top w:val="none" w:color="FFFFFF" w:sz="0"/>
              <w:left w:val="none" w:color="FFFFFF" w:sz="0"/>
              <w:bottom w:val="none" w:color="FFFFFF" w:sz="0"/>
              <w:right w:val="none" w:color="FFFFFF" w:sz="0"/>
            </w:tcBorders>
            <w:tcMar>
              <w:top w:type="dxa" w:w="40"/>
              <w:left w:type="dxa" w:w="80"/>
              <w:bottom w:type="dxa" w:w="40"/>
              <w:right w:type="dxa" w:w="80"/>
            </w:tcMar>
          </w:tcPr>
          <w:p>
            <w:r>
              <w:rPr>
                <w:rFonts w:ascii="Calibri" w:cs="Calibri" w:eastAsia="Calibri" w:hAnsi="Calibri"/>
                <w:b/>
                <w:bCs/>
                <w:color w:val="1B2A4A"/>
                <w:sz w:val="22"/>
                <w:szCs w:val="22"/>
              </w:rPr>
              <w:t xml:space="preserve">Prepared By:</w:t>
            </w:r>
          </w:p>
        </w:tc>
        <w:tc>
          <w:tcPr>
            <w:tcW w:type="dxa" w:w="3600"/>
            <w:tcBorders>
              <w:top w:val="none" w:color="FFFFFF" w:sz="0"/>
              <w:left w:val="none" w:color="FFFFFF" w:sz="0"/>
              <w:bottom w:val="single" w:color="E8A838" w:sz="1"/>
              <w:right w:val="none" w:color="FFFFFF" w:sz="0"/>
            </w:tcBorders>
            <w:tcMar>
              <w:top w:type="dxa" w:w="40"/>
              <w:left w:type="dxa" w:w="80"/>
              <w:bottom w:type="dxa" w:w="40"/>
              <w:right w:type="dxa" w:w="80"/>
            </w:tcMar>
          </w:tcPr>
          <w:p>
            <w:r>
              <w:rPr>
                <w:rFonts w:ascii="Calibri" w:cs="Calibri" w:eastAsia="Calibri" w:hAnsi="Calibri"/>
                <w:color w:val="333333"/>
                <w:sz w:val="22"/>
                <w:szCs w:val="22"/>
              </w:rPr>
              <w:t xml:space="preserve">[NAME / TITLE]</w:t>
            </w:r>
          </w:p>
        </w:tc>
      </w:tr>
      <w:tr>
        <w:tc>
          <w:tcPr>
            <w:tcW w:type="dxa" w:w="2400"/>
            <w:tcBorders>
              <w:top w:val="none" w:color="FFFFFF" w:sz="0"/>
              <w:left w:val="none" w:color="FFFFFF" w:sz="0"/>
              <w:bottom w:val="none" w:color="FFFFFF" w:sz="0"/>
              <w:right w:val="none" w:color="FFFFFF" w:sz="0"/>
            </w:tcBorders>
            <w:tcMar>
              <w:top w:type="dxa" w:w="40"/>
              <w:left w:type="dxa" w:w="80"/>
              <w:bottom w:type="dxa" w:w="40"/>
              <w:right w:type="dxa" w:w="80"/>
            </w:tcMar>
          </w:tcPr>
          <w:p>
            <w:r>
              <w:rPr>
                <w:rFonts w:ascii="Calibri" w:cs="Calibri" w:eastAsia="Calibri" w:hAnsi="Calibri"/>
                <w:b/>
                <w:bCs/>
                <w:color w:val="1B2A4A"/>
                <w:sz w:val="22"/>
                <w:szCs w:val="22"/>
              </w:rPr>
              <w:t xml:space="preserve">Effective Date:</w:t>
            </w:r>
          </w:p>
        </w:tc>
        <w:tc>
          <w:tcPr>
            <w:tcW w:type="dxa" w:w="3600"/>
            <w:tcBorders>
              <w:top w:val="none" w:color="FFFFFF" w:sz="0"/>
              <w:left w:val="none" w:color="FFFFFF" w:sz="0"/>
              <w:bottom w:val="single" w:color="E8A838" w:sz="1"/>
              <w:right w:val="none" w:color="FFFFFF" w:sz="0"/>
            </w:tcBorders>
            <w:tcMar>
              <w:top w:type="dxa" w:w="40"/>
              <w:left w:type="dxa" w:w="80"/>
              <w:bottom w:type="dxa" w:w="40"/>
              <w:right w:type="dxa" w:w="80"/>
            </w:tcMar>
          </w:tcPr>
          <w:p>
            <w:r>
              <w:rPr>
                <w:rFonts w:ascii="Calibri" w:cs="Calibri" w:eastAsia="Calibri" w:hAnsi="Calibri"/>
                <w:color w:val="333333"/>
                <w:sz w:val="22"/>
                <w:szCs w:val="22"/>
              </w:rPr>
              <w:t xml:space="preserve">[DATE]</w:t>
            </w:r>
          </w:p>
        </w:tc>
      </w:tr>
      <w:tr>
        <w:tc>
          <w:tcPr>
            <w:tcW w:type="dxa" w:w="2400"/>
            <w:tcBorders>
              <w:top w:val="none" w:color="FFFFFF" w:sz="0"/>
              <w:left w:val="none" w:color="FFFFFF" w:sz="0"/>
              <w:bottom w:val="none" w:color="FFFFFF" w:sz="0"/>
              <w:right w:val="none" w:color="FFFFFF" w:sz="0"/>
            </w:tcBorders>
            <w:tcMar>
              <w:top w:type="dxa" w:w="40"/>
              <w:left w:type="dxa" w:w="80"/>
              <w:bottom w:type="dxa" w:w="40"/>
              <w:right w:type="dxa" w:w="80"/>
            </w:tcMar>
          </w:tcPr>
          <w:p>
            <w:r>
              <w:rPr>
                <w:rFonts w:ascii="Calibri" w:cs="Calibri" w:eastAsia="Calibri" w:hAnsi="Calibri"/>
                <w:b/>
                <w:bCs/>
                <w:color w:val="1B2A4A"/>
                <w:sz w:val="22"/>
                <w:szCs w:val="22"/>
              </w:rPr>
              <w:t xml:space="preserve">Revision:</w:t>
            </w:r>
          </w:p>
        </w:tc>
        <w:tc>
          <w:tcPr>
            <w:tcW w:type="dxa" w:w="3600"/>
            <w:tcBorders>
              <w:top w:val="none" w:color="FFFFFF" w:sz="0"/>
              <w:left w:val="none" w:color="FFFFFF" w:sz="0"/>
              <w:bottom w:val="single" w:color="E8A838" w:sz="1"/>
              <w:right w:val="none" w:color="FFFFFF" w:sz="0"/>
            </w:tcBorders>
            <w:tcMar>
              <w:top w:type="dxa" w:w="40"/>
              <w:left w:type="dxa" w:w="80"/>
              <w:bottom w:type="dxa" w:w="40"/>
              <w:right w:type="dxa" w:w="80"/>
            </w:tcMar>
          </w:tcPr>
          <w:p>
            <w:r>
              <w:rPr>
                <w:rFonts w:ascii="Calibri" w:cs="Calibri" w:eastAsia="Calibri" w:hAnsi="Calibri"/>
                <w:color w:val="333333"/>
                <w:sz w:val="22"/>
                <w:szCs w:val="22"/>
              </w:rPr>
              <w:t xml:space="preserve">[REV NUMBER]</w:t>
            </w:r>
          </w:p>
        </w:tc>
      </w:tr>
      <w:tr>
        <w:tc>
          <w:tcPr>
            <w:tcW w:type="dxa" w:w="2400"/>
            <w:tcBorders>
              <w:top w:val="none" w:color="FFFFFF" w:sz="0"/>
              <w:left w:val="none" w:color="FFFFFF" w:sz="0"/>
              <w:bottom w:val="none" w:color="FFFFFF" w:sz="0"/>
              <w:right w:val="none" w:color="FFFFFF" w:sz="0"/>
            </w:tcBorders>
            <w:tcMar>
              <w:top w:type="dxa" w:w="40"/>
              <w:left w:type="dxa" w:w="80"/>
              <w:bottom w:type="dxa" w:w="40"/>
              <w:right w:type="dxa" w:w="80"/>
            </w:tcMar>
          </w:tcPr>
          <w:p>
            <w:r>
              <w:rPr>
                <w:rFonts w:ascii="Calibri" w:cs="Calibri" w:eastAsia="Calibri" w:hAnsi="Calibri"/>
                <w:b/>
                <w:bCs/>
                <w:color w:val="1B2A4A"/>
                <w:sz w:val="22"/>
                <w:szCs w:val="22"/>
              </w:rPr>
              <w:t xml:space="preserve">Regulatory Ref:</w:t>
            </w:r>
          </w:p>
        </w:tc>
        <w:tc>
          <w:tcPr>
            <w:tcW w:type="dxa" w:w="3600"/>
            <w:tcBorders>
              <w:top w:val="none" w:color="FFFFFF" w:sz="0"/>
              <w:left w:val="none" w:color="FFFFFF" w:sz="0"/>
              <w:bottom w:val="single" w:color="E8A838" w:sz="1"/>
              <w:right w:val="none" w:color="FFFFFF" w:sz="0"/>
            </w:tcBorders>
            <w:tcMar>
              <w:top w:type="dxa" w:w="40"/>
              <w:left w:type="dxa" w:w="80"/>
              <w:bottom w:type="dxa" w:w="40"/>
              <w:right w:type="dxa" w:w="80"/>
            </w:tcMar>
          </w:tcPr>
          <w:p>
            <w:r>
              <w:rPr>
                <w:rFonts w:ascii="Calibri" w:cs="Calibri" w:eastAsia="Calibri" w:hAnsi="Calibri"/>
                <w:color w:val="333333"/>
                <w:sz w:val="22"/>
                <w:szCs w:val="22"/>
              </w:rPr>
              <w:t xml:space="preserve">29 CFR 1910.1000 / 29 CFR 1926.55 / ANSI Z390.1</w:t>
            </w:r>
          </w:p>
        </w:tc>
      </w:tr>
    </w:tbl>
    <w:p>
      <w:pPr>
        <w:spacing w:after="0" w:before="800"/>
      </w:pPr>
    </w:p>
    <w:p>
      <w:pPr>
        <w:jc w:val="center"/>
      </w:pPr>
      <w:r>
        <w:rPr>
          <w:rFonts w:ascii="Calibri" w:cs="Calibri" w:eastAsia="Calibri" w:hAnsi="Calibri"/>
          <w:i/>
          <w:iCs/>
          <w:color w:val="666666"/>
          <w:sz w:val="18"/>
          <w:szCs w:val="18"/>
        </w:rPr>
        <w:t xml:space="preserve">This document is the property of [COMPANY NAME]. Unauthorized reproduction or distribution is prohibited.</w:t>
      </w:r>
    </w:p>
    <w:p>
      <w:r>
        <w:br w:type="page"/>
      </w:r>
    </w:p>
    <w:p>
      <w:pPr>
        <w:pStyle w:val="Heading1"/>
      </w:pPr>
      <w:r>
        <w:rPr>
          <w:rFonts w:ascii="Calibri" w:cs="Calibri" w:eastAsia="Calibri" w:hAnsi="Calibri"/>
          <w:b/>
          <w:bCs/>
          <w:color w:val="1B2A4A"/>
          <w:sz w:val="32"/>
          <w:szCs w:val="32"/>
        </w:rPr>
        <w:t xml:space="preserve">Table of Contents</w:t>
      </w:r>
    </w:p>
    <w:sdt>
      <w:sdtPr>
        <w:alias w:val="Table of Contents"/>
      </w:sdtPr>
      <w:sdtContent>
        <w:p>
          <w:r>
            <w:fldChar w:fldCharType="begin" w:dirty="true"/>
            <w:instrText xml:space="preserve">TOC \h \o "1-3"</w:instrText>
            <w:fldChar w:fldCharType="separate"/>
          </w:r>
        </w:p>
        <w:p>
          <w:r>
            <w:fldChar w:fldCharType="end"/>
          </w:r>
        </w:p>
      </w:sdtContent>
    </w:sdt>
    <w:p>
      <w:r>
        <w:br w:type="page"/>
      </w:r>
    </w:p>
    <w:p>
      <w:pPr>
        <w:pStyle w:val="Heading1"/>
      </w:pPr>
      <w:r>
        <w:rPr>
          <w:rFonts w:ascii="Calibri" w:cs="Calibri" w:eastAsia="Calibri" w:hAnsi="Calibri"/>
          <w:b/>
          <w:bCs/>
          <w:color w:val="1B2A4A"/>
          <w:sz w:val="32"/>
          <w:szCs w:val="32"/>
        </w:rPr>
        <w:t xml:space="preserve">1. Purpose &amp; Scope</w:t>
      </w:r>
    </w:p>
    <w:p>
      <w:pPr>
        <w:spacing w:after="80" w:before="80"/>
        <w:jc w:val="left"/>
      </w:pPr>
      <w:r>
        <w:rPr>
          <w:rFonts w:ascii="Calibri" w:cs="Calibri" w:eastAsia="Calibri" w:hAnsi="Calibri"/>
          <w:b w:val="false"/>
          <w:bCs w:val="false"/>
          <w:i w:val="false"/>
          <w:iCs w:val="false"/>
          <w:color w:val="333333"/>
          <w:sz w:val="22"/>
          <w:szCs w:val="22"/>
        </w:rPr>
        <w:t xml:space="preserve">[COMPANY NAME] is committed to protecting employees from the hazards of hydrogen sulfide (H2S) exposure. This program establishes procedures for H2S detection, monitoring, personal protective equipment, emergency response, and training to ensure compliance with applicable standards.</w:t>
      </w:r>
    </w:p>
    <w:p>
      <w:pPr>
        <w:spacing w:after="80" w:before="80"/>
        <w:jc w:val="left"/>
      </w:pPr>
      <w:r>
        <w:rPr>
          <w:rFonts w:ascii="Calibri" w:cs="Calibri" w:eastAsia="Calibri" w:hAnsi="Calibri"/>
          <w:b w:val="false"/>
          <w:bCs w:val="false"/>
          <w:i w:val="false"/>
          <w:iCs w:val="false"/>
          <w:color w:val="333333"/>
          <w:sz w:val="22"/>
          <w:szCs w:val="22"/>
        </w:rPr>
        <w:t xml:space="preserve">This program applies to all employees, contractors, and visitors working at or visiting [COMPANY NAME] locations where H2S exposure is possible, including oil and gas production, wastewater treatment, confined space entry, and drilling operations.</w:t>
      </w:r>
    </w:p>
    <w:p>
      <w:pPr>
        <w:pStyle w:val="Heading1"/>
      </w:pPr>
      <w:r>
        <w:rPr>
          <w:rFonts w:ascii="Calibri" w:cs="Calibri" w:eastAsia="Calibri" w:hAnsi="Calibri"/>
          <w:b/>
          <w:bCs/>
          <w:color w:val="1B2A4A"/>
          <w:sz w:val="32"/>
          <w:szCs w:val="32"/>
        </w:rPr>
        <w:t xml:space="preserve">2. Regulatory References</w:t>
      </w:r>
    </w:p>
    <w:p>
      <w:pPr>
        <w:pStyle w:val="ListParagraph"/>
        <w:numPr>
          <w:ilvl w:val="0"/>
          <w:numId w:val="2"/>
        </w:numPr>
        <w:spacing w:after="40" w:before="40"/>
      </w:pPr>
      <w:r>
        <w:rPr>
          <w:rFonts w:ascii="Calibri" w:cs="Calibri" w:eastAsia="Calibri" w:hAnsi="Calibri"/>
          <w:color w:val="333333"/>
          <w:sz w:val="22"/>
          <w:szCs w:val="22"/>
        </w:rPr>
        <w:t xml:space="preserve">29 CFR 1910.1000 — Air Contaminants (General Industry)</w:t>
      </w:r>
    </w:p>
    <w:p>
      <w:pPr>
        <w:pStyle w:val="ListParagraph"/>
        <w:numPr>
          <w:ilvl w:val="0"/>
          <w:numId w:val="2"/>
        </w:numPr>
        <w:spacing w:after="40" w:before="40"/>
      </w:pPr>
      <w:r>
        <w:rPr>
          <w:rFonts w:ascii="Calibri" w:cs="Calibri" w:eastAsia="Calibri" w:hAnsi="Calibri"/>
          <w:color w:val="333333"/>
          <w:sz w:val="22"/>
          <w:szCs w:val="22"/>
        </w:rPr>
        <w:t xml:space="preserve">29 CFR 1926.55 — Gases, Vapors, Fumes, Dusts, and Mists (Construction)</w:t>
      </w:r>
    </w:p>
    <w:p>
      <w:pPr>
        <w:pStyle w:val="ListParagraph"/>
        <w:numPr>
          <w:ilvl w:val="0"/>
          <w:numId w:val="2"/>
        </w:numPr>
        <w:spacing w:after="40" w:before="40"/>
      </w:pPr>
      <w:r>
        <w:rPr>
          <w:rFonts w:ascii="Calibri" w:cs="Calibri" w:eastAsia="Calibri" w:hAnsi="Calibri"/>
          <w:color w:val="333333"/>
          <w:sz w:val="22"/>
          <w:szCs w:val="22"/>
        </w:rPr>
        <w:t xml:space="preserve">ANSI Z390.1 — Accepted Practices for Hydrogen Sulfide (H2S) Training Programs</w:t>
      </w:r>
    </w:p>
    <w:p>
      <w:pPr>
        <w:pStyle w:val="ListParagraph"/>
        <w:numPr>
          <w:ilvl w:val="0"/>
          <w:numId w:val="2"/>
        </w:numPr>
        <w:spacing w:after="40" w:before="40"/>
      </w:pPr>
      <w:r>
        <w:rPr>
          <w:rFonts w:ascii="Calibri" w:cs="Calibri" w:eastAsia="Calibri" w:hAnsi="Calibri"/>
          <w:color w:val="333333"/>
          <w:sz w:val="22"/>
          <w:szCs w:val="22"/>
        </w:rPr>
        <w:t xml:space="preserve">NIOSH Pocket Guide to Chemical Hazards — Hydrogen Sulfide</w:t>
      </w:r>
    </w:p>
    <w:p>
      <w:pPr>
        <w:pStyle w:val="ListParagraph"/>
        <w:numPr>
          <w:ilvl w:val="0"/>
          <w:numId w:val="2"/>
        </w:numPr>
        <w:spacing w:after="40" w:before="40"/>
      </w:pPr>
      <w:r>
        <w:rPr>
          <w:rFonts w:ascii="Calibri" w:cs="Calibri" w:eastAsia="Calibri" w:hAnsi="Calibri"/>
          <w:color w:val="333333"/>
          <w:sz w:val="22"/>
          <w:szCs w:val="22"/>
        </w:rPr>
        <w:t xml:space="preserve">29 CFR 1910.134 — Respiratory Protection</w:t>
      </w:r>
    </w:p>
    <w:p>
      <w:pPr>
        <w:pStyle w:val="ListParagraph"/>
        <w:numPr>
          <w:ilvl w:val="0"/>
          <w:numId w:val="2"/>
        </w:numPr>
        <w:spacing w:after="40" w:before="40"/>
      </w:pPr>
      <w:r>
        <w:rPr>
          <w:rFonts w:ascii="Calibri" w:cs="Calibri" w:eastAsia="Calibri" w:hAnsi="Calibri"/>
          <w:color w:val="333333"/>
          <w:sz w:val="22"/>
          <w:szCs w:val="22"/>
        </w:rPr>
        <w:t xml:space="preserve">29 CFR 1910.146 — Permit-Required Confined Spaces</w:t>
      </w:r>
    </w:p>
    <w:p>
      <w:pPr>
        <w:pStyle w:val="Heading1"/>
      </w:pPr>
      <w:r>
        <w:rPr>
          <w:rFonts w:ascii="Calibri" w:cs="Calibri" w:eastAsia="Calibri" w:hAnsi="Calibri"/>
          <w:b/>
          <w:bCs/>
          <w:color w:val="1B2A4A"/>
          <w:sz w:val="32"/>
          <w:szCs w:val="32"/>
        </w:rPr>
        <w:t xml:space="preserve">3. Properties of Hydrogen Sulfide</w:t>
      </w:r>
    </w:p>
    <w:p>
      <w:pPr>
        <w:spacing w:after="80" w:before="80"/>
        <w:jc w:val="left"/>
      </w:pPr>
      <w:r>
        <w:rPr>
          <w:rFonts w:ascii="Calibri" w:cs="Calibri" w:eastAsia="Calibri" w:hAnsi="Calibri"/>
          <w:b w:val="false"/>
          <w:bCs w:val="false"/>
          <w:i w:val="false"/>
          <w:iCs w:val="false"/>
          <w:color w:val="333333"/>
          <w:sz w:val="22"/>
          <w:szCs w:val="22"/>
        </w:rPr>
        <w:t xml:space="preserve">Understanding the physical and chemical properties of H2S is critical for safe operations: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800"/>
        <w:gridCol w:w="6560"/>
      </w:tblGrid>
      <w:tr>
        <w:tc>
          <w:tcPr>
            <w:tcW w:type="dxa" w:w="2800"/>
            <w:tcBorders>
              <w:top w:val="single" w:color="B0B0B0" w:sz="1"/>
              <w:left w:val="single" w:color="B0B0B0" w:sz="1"/>
              <w:bottom w:val="single" w:color="B0B0B0" w:sz="1"/>
              <w:right w:val="single" w:color="B0B0B0" w:sz="1"/>
            </w:tcBorders>
            <w:shd w:fill="1B2A4A" w:val="clear"/>
            <w:tcMar>
              <w:top w:type="dxa" w:w="60"/>
              <w:left w:type="dxa" w:w="80"/>
              <w:bottom w:type="dxa" w:w="60"/>
              <w:right w:type="dxa" w:w="80"/>
            </w:tcMar>
            <w:vAlign w:val="center"/>
          </w:tcPr>
          <w:p>
            <w:pPr>
              <w:jc w:val="center"/>
            </w:pPr>
            <w:r>
              <w:rPr>
                <w:rFonts w:ascii="Calibri" w:cs="Calibri" w:eastAsia="Calibri" w:hAnsi="Calibri"/>
                <w:b/>
                <w:bCs/>
                <w:color w:val="FFFFFF"/>
                <w:sz w:val="20"/>
                <w:szCs w:val="20"/>
              </w:rPr>
              <w:t xml:space="preserve">Property</w:t>
            </w:r>
          </w:p>
        </w:tc>
        <w:tc>
          <w:tcPr>
            <w:tcW w:type="dxa" w:w="6560"/>
            <w:tcBorders>
              <w:top w:val="single" w:color="B0B0B0" w:sz="1"/>
              <w:left w:val="single" w:color="B0B0B0" w:sz="1"/>
              <w:bottom w:val="single" w:color="B0B0B0" w:sz="1"/>
              <w:right w:val="single" w:color="B0B0B0" w:sz="1"/>
            </w:tcBorders>
            <w:shd w:fill="1B2A4A" w:val="clear"/>
            <w:tcMar>
              <w:top w:type="dxa" w:w="60"/>
              <w:left w:type="dxa" w:w="80"/>
              <w:bottom w:type="dxa" w:w="60"/>
              <w:right w:type="dxa" w:w="80"/>
            </w:tcMar>
            <w:vAlign w:val="center"/>
          </w:tcPr>
          <w:p>
            <w:pPr>
              <w:jc w:val="center"/>
            </w:pPr>
            <w:r>
              <w:rPr>
                <w:rFonts w:ascii="Calibri" w:cs="Calibri" w:eastAsia="Calibri" w:hAnsi="Calibri"/>
                <w:b/>
                <w:bCs/>
                <w:color w:val="FFFFFF"/>
                <w:sz w:val="20"/>
                <w:szCs w:val="20"/>
              </w:rPr>
              <w:t xml:space="preserve">Description</w:t>
            </w:r>
          </w:p>
        </w:tc>
      </w:tr>
      <w:tr>
        <w:tc>
          <w:tcPr>
            <w:tcW w:type="dxa" w:w="280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Chemical Formula</w:t>
            </w:r>
          </w:p>
        </w:tc>
        <w:tc>
          <w:tcPr>
            <w:tcW w:type="dxa" w:w="656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H₂S</w:t>
            </w:r>
          </w:p>
        </w:tc>
      </w:tr>
      <w:tr>
        <w:tc>
          <w:tcPr>
            <w:tcW w:type="dxa" w:w="280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Appearance</w:t>
            </w:r>
          </w:p>
        </w:tc>
        <w:tc>
          <w:tcPr>
            <w:tcW w:type="dxa" w:w="656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Colorless gas</w:t>
            </w:r>
          </w:p>
        </w:tc>
      </w:tr>
      <w:tr>
        <w:tc>
          <w:tcPr>
            <w:tcW w:type="dxa" w:w="280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Odor</w:t>
            </w:r>
          </w:p>
        </w:tc>
        <w:tc>
          <w:tcPr>
            <w:tcW w:type="dxa" w:w="656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"Rotten egg" smell at low concentrations — DO NOT rely on odor for detection</w:t>
            </w:r>
          </w:p>
        </w:tc>
      </w:tr>
      <w:tr>
        <w:tc>
          <w:tcPr>
            <w:tcW w:type="dxa" w:w="280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Vapor Density</w:t>
            </w:r>
          </w:p>
        </w:tc>
        <w:tc>
          <w:tcPr>
            <w:tcW w:type="dxa" w:w="656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1.189 (heavier than air — accumulates in low-lying areas)</w:t>
            </w:r>
          </w:p>
        </w:tc>
      </w:tr>
      <w:tr>
        <w:tc>
          <w:tcPr>
            <w:tcW w:type="dxa" w:w="280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Flammability</w:t>
            </w:r>
          </w:p>
        </w:tc>
        <w:tc>
          <w:tcPr>
            <w:tcW w:type="dxa" w:w="656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Flammable — LEL: 4.0%, UEL: 44.0%</w:t>
            </w:r>
          </w:p>
        </w:tc>
      </w:tr>
      <w:tr>
        <w:tc>
          <w:tcPr>
            <w:tcW w:type="dxa" w:w="280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Solubility</w:t>
            </w:r>
          </w:p>
        </w:tc>
        <w:tc>
          <w:tcPr>
            <w:tcW w:type="dxa" w:w="656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Soluble in water; released when agitated or heated</w:t>
            </w:r>
          </w:p>
        </w:tc>
      </w:tr>
      <w:tr>
        <w:tc>
          <w:tcPr>
            <w:tcW w:type="dxa" w:w="280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Key Hazard</w:t>
            </w:r>
          </w:p>
        </w:tc>
        <w:tc>
          <w:tcPr>
            <w:tcW w:type="dxa" w:w="656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Olfactory fatigue — paralyzes sense of smell at ≥50 ppm</w:t>
            </w:r>
          </w:p>
        </w:tc>
      </w:tr>
    </w:tbl>
    <w:p>
      <w:pPr>
        <w:spacing w:after="80" w:before="80"/>
        <w:jc w:val="left"/>
      </w:pPr>
      <w:r>
        <w:rPr>
          <w:rFonts w:ascii="Calibri" w:cs="Calibri" w:eastAsia="Calibri" w:hAnsi="Calibri"/>
          <w:b w:val="false"/>
          <w:bCs w:val="false"/>
          <w:i w:val="false"/>
          <w:iCs w:val="false"/>
          <w:color w:val="333333"/>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E8A838" w:sz="1"/>
              <w:left w:val="single" w:color="E8A838" w:sz="6"/>
              <w:bottom w:val="single" w:color="E8A838" w:sz="1"/>
              <w:right w:val="single" w:color="E8A838" w:sz="1"/>
            </w:tcBorders>
            <w:shd w:fill="FFF8EC" w:val="clear"/>
            <w:tcMar>
              <w:top w:type="dxa" w:w="80"/>
              <w:left w:type="dxa" w:w="120"/>
              <w:bottom w:type="dxa" w:w="80"/>
              <w:right w:type="dxa" w:w="120"/>
            </w:tcMar>
          </w:tcPr>
          <w:p>
            <w:r>
              <w:rPr>
                <w:rFonts w:ascii="Calibri" w:cs="Calibri" w:eastAsia="Calibri" w:hAnsi="Calibri"/>
                <w:b/>
                <w:bCs/>
                <w:color w:val="1B2A4A"/>
                <w:sz w:val="20"/>
                <w:szCs w:val="20"/>
              </w:rPr>
              <w:t xml:space="preserve">NOTE: </w:t>
            </w:r>
            <w:r>
              <w:rPr>
                <w:rFonts w:ascii="Calibri" w:cs="Calibri" w:eastAsia="Calibri" w:hAnsi="Calibri"/>
                <w:color w:val="333333"/>
                <w:sz w:val="20"/>
                <w:szCs w:val="20"/>
              </w:rPr>
              <w:t xml:space="preserve">NEVER rely on your sense of smell to detect H2S. Olfactory fatigue occurs rapidly at higher concentrations, and the gas becomes odorless. Always use calibrated gas detection instruments.</w:t>
            </w:r>
          </w:p>
        </w:tc>
      </w:tr>
    </w:tbl>
    <w:p>
      <w:r>
        <w:br w:type="page"/>
      </w:r>
    </w:p>
    <w:p>
      <w:pPr>
        <w:pStyle w:val="Heading1"/>
      </w:pPr>
      <w:r>
        <w:rPr>
          <w:rFonts w:ascii="Calibri" w:cs="Calibri" w:eastAsia="Calibri" w:hAnsi="Calibri"/>
          <w:b/>
          <w:bCs/>
          <w:color w:val="1B2A4A"/>
          <w:sz w:val="32"/>
          <w:szCs w:val="32"/>
        </w:rPr>
        <w:t xml:space="preserve">4. Exposure Limits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c>
          <w:tcPr>
            <w:tcW w:type="dxa" w:w="3120"/>
            <w:tcBorders>
              <w:top w:val="single" w:color="B0B0B0" w:sz="1"/>
              <w:left w:val="single" w:color="B0B0B0" w:sz="1"/>
              <w:bottom w:val="single" w:color="B0B0B0" w:sz="1"/>
              <w:right w:val="single" w:color="B0B0B0" w:sz="1"/>
            </w:tcBorders>
            <w:shd w:fill="1B2A4A" w:val="clear"/>
            <w:tcMar>
              <w:top w:type="dxa" w:w="60"/>
              <w:left w:type="dxa" w:w="80"/>
              <w:bottom w:type="dxa" w:w="60"/>
              <w:right w:type="dxa" w:w="80"/>
            </w:tcMar>
            <w:vAlign w:val="center"/>
          </w:tcPr>
          <w:p>
            <w:pPr>
              <w:jc w:val="center"/>
            </w:pPr>
            <w:r>
              <w:rPr>
                <w:rFonts w:ascii="Calibri" w:cs="Calibri" w:eastAsia="Calibri" w:hAnsi="Calibri"/>
                <w:b/>
                <w:bCs/>
                <w:color w:val="FFFFFF"/>
                <w:sz w:val="20"/>
                <w:szCs w:val="20"/>
              </w:rPr>
              <w:t xml:space="preserve">Standard</w:t>
            </w:r>
          </w:p>
        </w:tc>
        <w:tc>
          <w:tcPr>
            <w:tcW w:type="dxa" w:w="3120"/>
            <w:tcBorders>
              <w:top w:val="single" w:color="B0B0B0" w:sz="1"/>
              <w:left w:val="single" w:color="B0B0B0" w:sz="1"/>
              <w:bottom w:val="single" w:color="B0B0B0" w:sz="1"/>
              <w:right w:val="single" w:color="B0B0B0" w:sz="1"/>
            </w:tcBorders>
            <w:shd w:fill="1B2A4A" w:val="clear"/>
            <w:tcMar>
              <w:top w:type="dxa" w:w="60"/>
              <w:left w:type="dxa" w:w="80"/>
              <w:bottom w:type="dxa" w:w="60"/>
              <w:right w:type="dxa" w:w="80"/>
            </w:tcMar>
            <w:vAlign w:val="center"/>
          </w:tcPr>
          <w:p>
            <w:pPr>
              <w:jc w:val="center"/>
            </w:pPr>
            <w:r>
              <w:rPr>
                <w:rFonts w:ascii="Calibri" w:cs="Calibri" w:eastAsia="Calibri" w:hAnsi="Calibri"/>
                <w:b/>
                <w:bCs/>
                <w:color w:val="FFFFFF"/>
                <w:sz w:val="20"/>
                <w:szCs w:val="20"/>
              </w:rPr>
              <w:t xml:space="preserve">Limit</w:t>
            </w:r>
          </w:p>
        </w:tc>
        <w:tc>
          <w:tcPr>
            <w:tcW w:type="dxa" w:w="3120"/>
            <w:tcBorders>
              <w:top w:val="single" w:color="B0B0B0" w:sz="1"/>
              <w:left w:val="single" w:color="B0B0B0" w:sz="1"/>
              <w:bottom w:val="single" w:color="B0B0B0" w:sz="1"/>
              <w:right w:val="single" w:color="B0B0B0" w:sz="1"/>
            </w:tcBorders>
            <w:shd w:fill="1B2A4A" w:val="clear"/>
            <w:tcMar>
              <w:top w:type="dxa" w:w="60"/>
              <w:left w:type="dxa" w:w="80"/>
              <w:bottom w:type="dxa" w:w="60"/>
              <w:right w:type="dxa" w:w="80"/>
            </w:tcMar>
            <w:vAlign w:val="center"/>
          </w:tcPr>
          <w:p>
            <w:pPr>
              <w:jc w:val="center"/>
            </w:pPr>
            <w:r>
              <w:rPr>
                <w:rFonts w:ascii="Calibri" w:cs="Calibri" w:eastAsia="Calibri" w:hAnsi="Calibri"/>
                <w:b/>
                <w:bCs/>
                <w:color w:val="FFFFFF"/>
                <w:sz w:val="20"/>
                <w:szCs w:val="20"/>
              </w:rPr>
              <w:t xml:space="preserve">Concentration</w:t>
            </w:r>
          </w:p>
        </w:tc>
      </w:tr>
      <w:tr>
        <w:tc>
          <w:tcPr>
            <w:tcW w:type="dxa" w:w="312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OSHA PEL (Ceiling)</w:t>
            </w:r>
          </w:p>
        </w:tc>
        <w:tc>
          <w:tcPr>
            <w:tcW w:type="dxa" w:w="312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Maximum at any time</w:t>
            </w:r>
          </w:p>
        </w:tc>
        <w:tc>
          <w:tcPr>
            <w:tcW w:type="dxa" w:w="312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20 ppm</w:t>
            </w:r>
          </w:p>
        </w:tc>
      </w:tr>
      <w:tr>
        <w:tc>
          <w:tcPr>
            <w:tcW w:type="dxa" w:w="312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OSHA PEL (Peak)</w:t>
            </w:r>
          </w:p>
        </w:tc>
        <w:tc>
          <w:tcPr>
            <w:tcW w:type="dxa" w:w="312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10-minute maximum</w:t>
            </w:r>
          </w:p>
        </w:tc>
        <w:tc>
          <w:tcPr>
            <w:tcW w:type="dxa" w:w="312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50 ppm</w:t>
            </w:r>
          </w:p>
        </w:tc>
      </w:tr>
      <w:tr>
        <w:tc>
          <w:tcPr>
            <w:tcW w:type="dxa" w:w="312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NIOSH REL (Ceiling)</w:t>
            </w:r>
          </w:p>
        </w:tc>
        <w:tc>
          <w:tcPr>
            <w:tcW w:type="dxa" w:w="312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10-minute ceiling</w:t>
            </w:r>
          </w:p>
        </w:tc>
        <w:tc>
          <w:tcPr>
            <w:tcW w:type="dxa" w:w="312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10 ppm</w:t>
            </w:r>
          </w:p>
        </w:tc>
      </w:tr>
      <w:tr>
        <w:tc>
          <w:tcPr>
            <w:tcW w:type="dxa" w:w="312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ACGIH TLV-TWA</w:t>
            </w:r>
          </w:p>
        </w:tc>
        <w:tc>
          <w:tcPr>
            <w:tcW w:type="dxa" w:w="312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8-hour average</w:t>
            </w:r>
          </w:p>
        </w:tc>
        <w:tc>
          <w:tcPr>
            <w:tcW w:type="dxa" w:w="312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1 ppm</w:t>
            </w:r>
          </w:p>
        </w:tc>
      </w:tr>
      <w:tr>
        <w:tc>
          <w:tcPr>
            <w:tcW w:type="dxa" w:w="312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ACGIH TLV-STEL</w:t>
            </w:r>
          </w:p>
        </w:tc>
        <w:tc>
          <w:tcPr>
            <w:tcW w:type="dxa" w:w="312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15-minute short-term</w:t>
            </w:r>
          </w:p>
        </w:tc>
        <w:tc>
          <w:tcPr>
            <w:tcW w:type="dxa" w:w="312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5 ppm</w:t>
            </w:r>
          </w:p>
        </w:tc>
      </w:tr>
      <w:tr>
        <w:tc>
          <w:tcPr>
            <w:tcW w:type="dxa" w:w="312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IDLH</w:t>
            </w:r>
          </w:p>
        </w:tc>
        <w:tc>
          <w:tcPr>
            <w:tcW w:type="dxa" w:w="312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Immediately Dangerous to Life/Health</w:t>
            </w:r>
          </w:p>
        </w:tc>
        <w:tc>
          <w:tcPr>
            <w:tcW w:type="dxa" w:w="312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100 ppm</w:t>
            </w:r>
          </w:p>
        </w:tc>
      </w:tr>
    </w:tbl>
    <w:p>
      <w:pPr>
        <w:pStyle w:val="Heading1"/>
      </w:pPr>
      <w:r>
        <w:rPr>
          <w:rFonts w:ascii="Calibri" w:cs="Calibri" w:eastAsia="Calibri" w:hAnsi="Calibri"/>
          <w:b/>
          <w:bCs/>
          <w:color w:val="1B2A4A"/>
          <w:sz w:val="32"/>
          <w:szCs w:val="32"/>
        </w:rPr>
        <w:t xml:space="preserve">5. Health Effects by Concentration</w:t>
      </w:r>
    </w:p>
    <w:p>
      <w:pPr>
        <w:spacing w:after="80" w:before="80"/>
        <w:jc w:val="left"/>
      </w:pPr>
      <w:r>
        <w:rPr>
          <w:rFonts w:ascii="Calibri" w:cs="Calibri" w:eastAsia="Calibri" w:hAnsi="Calibri"/>
          <w:b w:val="false"/>
          <w:bCs w:val="false"/>
          <w:i w:val="false"/>
          <w:iCs w:val="false"/>
          <w:color w:val="333333"/>
          <w:sz w:val="22"/>
          <w:szCs w:val="22"/>
        </w:rPr>
        <w:t xml:space="preserve">The following table summarizes the health effects of H2S at various concentrations: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400"/>
        <w:gridCol w:w="6960"/>
      </w:tblGrid>
      <w:tr>
        <w:tc>
          <w:tcPr>
            <w:tcW w:type="dxa" w:w="2400"/>
            <w:tcBorders>
              <w:top w:val="single" w:color="B0B0B0" w:sz="1"/>
              <w:left w:val="single" w:color="B0B0B0" w:sz="1"/>
              <w:bottom w:val="single" w:color="B0B0B0" w:sz="1"/>
              <w:right w:val="single" w:color="B0B0B0" w:sz="1"/>
            </w:tcBorders>
            <w:shd w:fill="1B2A4A" w:val="clear"/>
            <w:tcMar>
              <w:top w:type="dxa" w:w="60"/>
              <w:left w:type="dxa" w:w="80"/>
              <w:bottom w:type="dxa" w:w="60"/>
              <w:right w:type="dxa" w:w="80"/>
            </w:tcMar>
            <w:vAlign w:val="center"/>
          </w:tcPr>
          <w:p>
            <w:pPr>
              <w:jc w:val="center"/>
            </w:pPr>
            <w:r>
              <w:rPr>
                <w:rFonts w:ascii="Calibri" w:cs="Calibri" w:eastAsia="Calibri" w:hAnsi="Calibri"/>
                <w:b/>
                <w:bCs/>
                <w:color w:val="FFFFFF"/>
                <w:sz w:val="20"/>
                <w:szCs w:val="20"/>
              </w:rPr>
              <w:t xml:space="preserve">Concentration (ppm)</w:t>
            </w:r>
          </w:p>
        </w:tc>
        <w:tc>
          <w:tcPr>
            <w:tcW w:type="dxa" w:w="6960"/>
            <w:tcBorders>
              <w:top w:val="single" w:color="B0B0B0" w:sz="1"/>
              <w:left w:val="single" w:color="B0B0B0" w:sz="1"/>
              <w:bottom w:val="single" w:color="B0B0B0" w:sz="1"/>
              <w:right w:val="single" w:color="B0B0B0" w:sz="1"/>
            </w:tcBorders>
            <w:shd w:fill="1B2A4A" w:val="clear"/>
            <w:tcMar>
              <w:top w:type="dxa" w:w="60"/>
              <w:left w:type="dxa" w:w="80"/>
              <w:bottom w:type="dxa" w:w="60"/>
              <w:right w:type="dxa" w:w="80"/>
            </w:tcMar>
            <w:vAlign w:val="center"/>
          </w:tcPr>
          <w:p>
            <w:pPr>
              <w:jc w:val="center"/>
            </w:pPr>
            <w:r>
              <w:rPr>
                <w:rFonts w:ascii="Calibri" w:cs="Calibri" w:eastAsia="Calibri" w:hAnsi="Calibri"/>
                <w:b/>
                <w:bCs/>
                <w:color w:val="FFFFFF"/>
                <w:sz w:val="20"/>
                <w:szCs w:val="20"/>
              </w:rPr>
              <w:t xml:space="preserve">Health Effects</w:t>
            </w:r>
          </w:p>
        </w:tc>
      </w:tr>
      <w:tr>
        <w:tc>
          <w:tcPr>
            <w:tcW w:type="dxa" w:w="240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0.01 – 0.3</w:t>
            </w:r>
          </w:p>
        </w:tc>
        <w:tc>
          <w:tcPr>
            <w:tcW w:type="dxa" w:w="696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Odor threshold — faint "rotten egg" smell detectable</w:t>
            </w:r>
          </w:p>
        </w:tc>
      </w:tr>
      <w:tr>
        <w:tc>
          <w:tcPr>
            <w:tcW w:type="dxa" w:w="240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1 – 10</w:t>
            </w:r>
          </w:p>
        </w:tc>
        <w:tc>
          <w:tcPr>
            <w:tcW w:type="dxa" w:w="696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Noticeable odor; eye irritation at upper range; headache with prolonged exposure</w:t>
            </w:r>
          </w:p>
        </w:tc>
      </w:tr>
      <w:tr>
        <w:tc>
          <w:tcPr>
            <w:tcW w:type="dxa" w:w="240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10 – 50</w:t>
            </w:r>
          </w:p>
        </w:tc>
        <w:tc>
          <w:tcPr>
            <w:tcW w:type="dxa" w:w="696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Strong offensive odor; eye and respiratory irritation; headache; nausea; dizziness</w:t>
            </w:r>
          </w:p>
        </w:tc>
      </w:tr>
      <w:tr>
        <w:tc>
          <w:tcPr>
            <w:tcW w:type="dxa" w:w="240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50 – 100</w:t>
            </w:r>
          </w:p>
        </w:tc>
        <w:tc>
          <w:tcPr>
            <w:tcW w:type="dxa" w:w="696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Olfactory fatigue (loss of smell); severe eye and respiratory irritation; pulmonary edema possible</w:t>
            </w:r>
          </w:p>
        </w:tc>
      </w:tr>
      <w:tr>
        <w:tc>
          <w:tcPr>
            <w:tcW w:type="dxa" w:w="240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100 – 200</w:t>
            </w:r>
          </w:p>
        </w:tc>
        <w:tc>
          <w:tcPr>
            <w:tcW w:type="dxa" w:w="696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IDLH zone; loss of smell immediate; severe respiratory distress; rapid loss of consciousness possible</w:t>
            </w:r>
          </w:p>
        </w:tc>
      </w:tr>
      <w:tr>
        <w:tc>
          <w:tcPr>
            <w:tcW w:type="dxa" w:w="240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200 – 500</w:t>
            </w:r>
          </w:p>
        </w:tc>
        <w:tc>
          <w:tcPr>
            <w:tcW w:type="dxa" w:w="696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Rapid unconsciousness; respiratory paralysis; death possible within minutes</w:t>
            </w:r>
          </w:p>
        </w:tc>
      </w:tr>
      <w:tr>
        <w:tc>
          <w:tcPr>
            <w:tcW w:type="dxa" w:w="240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500 – 1000</w:t>
            </w:r>
          </w:p>
        </w:tc>
        <w:tc>
          <w:tcPr>
            <w:tcW w:type="dxa" w:w="696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Immediate collapse; respiratory paralysis; death within minutes without rescue</w:t>
            </w:r>
          </w:p>
        </w:tc>
      </w:tr>
      <w:tr>
        <w:tc>
          <w:tcPr>
            <w:tcW w:type="dxa" w:w="240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1000+</w:t>
            </w:r>
          </w:p>
        </w:tc>
        <w:tc>
          <w:tcPr>
            <w:tcW w:type="dxa" w:w="696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Immediate death — single breath can be fatal</w:t>
            </w:r>
          </w:p>
        </w:tc>
      </w:tr>
    </w:tbl>
    <w:p>
      <w:pPr>
        <w:pStyle w:val="Heading1"/>
      </w:pPr>
      <w:r>
        <w:rPr>
          <w:rFonts w:ascii="Calibri" w:cs="Calibri" w:eastAsia="Calibri" w:hAnsi="Calibri"/>
          <w:b/>
          <w:bCs/>
          <w:color w:val="1B2A4A"/>
          <w:sz w:val="32"/>
          <w:szCs w:val="32"/>
        </w:rPr>
        <w:t xml:space="preserve">6. Common Sources of H2S</w:t>
      </w:r>
    </w:p>
    <w:p>
      <w:pPr>
        <w:pStyle w:val="Heading2"/>
      </w:pPr>
      <w:r>
        <w:rPr>
          <w:rFonts w:ascii="Calibri" w:cs="Calibri" w:eastAsia="Calibri" w:hAnsi="Calibri"/>
          <w:b/>
          <w:bCs/>
          <w:color w:val="1B2A4A"/>
          <w:sz w:val="26"/>
          <w:szCs w:val="26"/>
        </w:rPr>
        <w:t xml:space="preserve">6.1 Oil &amp; Gas Operations</w:t>
      </w:r>
    </w:p>
    <w:p>
      <w:pPr>
        <w:pStyle w:val="ListParagraph"/>
        <w:numPr>
          <w:ilvl w:val="0"/>
          <w:numId w:val="2"/>
        </w:numPr>
        <w:spacing w:after="40" w:before="40"/>
      </w:pPr>
      <w:r>
        <w:rPr>
          <w:rFonts w:ascii="Calibri" w:cs="Calibri" w:eastAsia="Calibri" w:hAnsi="Calibri"/>
          <w:color w:val="333333"/>
          <w:sz w:val="22"/>
          <w:szCs w:val="22"/>
        </w:rPr>
        <w:t xml:space="preserve">Wellheads, flow lines, and production equipment</w:t>
      </w:r>
    </w:p>
    <w:p>
      <w:pPr>
        <w:pStyle w:val="ListParagraph"/>
        <w:numPr>
          <w:ilvl w:val="0"/>
          <w:numId w:val="2"/>
        </w:numPr>
        <w:spacing w:after="40" w:before="40"/>
      </w:pPr>
      <w:r>
        <w:rPr>
          <w:rFonts w:ascii="Calibri" w:cs="Calibri" w:eastAsia="Calibri" w:hAnsi="Calibri"/>
          <w:color w:val="333333"/>
          <w:sz w:val="22"/>
          <w:szCs w:val="22"/>
        </w:rPr>
        <w:t xml:space="preserve">Tank batteries and storage vessels</w:t>
      </w:r>
    </w:p>
    <w:p>
      <w:pPr>
        <w:pStyle w:val="ListParagraph"/>
        <w:numPr>
          <w:ilvl w:val="0"/>
          <w:numId w:val="2"/>
        </w:numPr>
        <w:spacing w:after="40" w:before="40"/>
      </w:pPr>
      <w:r>
        <w:rPr>
          <w:rFonts w:ascii="Calibri" w:cs="Calibri" w:eastAsia="Calibri" w:hAnsi="Calibri"/>
          <w:color w:val="333333"/>
          <w:sz w:val="22"/>
          <w:szCs w:val="22"/>
        </w:rPr>
        <w:t xml:space="preserve">Gas sweetening and sulfur recovery units</w:t>
      </w:r>
    </w:p>
    <w:p>
      <w:pPr>
        <w:pStyle w:val="ListParagraph"/>
        <w:numPr>
          <w:ilvl w:val="0"/>
          <w:numId w:val="2"/>
        </w:numPr>
        <w:spacing w:after="40" w:before="40"/>
      </w:pPr>
      <w:r>
        <w:rPr>
          <w:rFonts w:ascii="Calibri" w:cs="Calibri" w:eastAsia="Calibri" w:hAnsi="Calibri"/>
          <w:color w:val="333333"/>
          <w:sz w:val="22"/>
          <w:szCs w:val="22"/>
        </w:rPr>
        <w:t xml:space="preserve">Drilling operations (especially in H2S-bearing formations)</w:t>
      </w:r>
    </w:p>
    <w:p>
      <w:pPr>
        <w:pStyle w:val="Heading2"/>
      </w:pPr>
      <w:r>
        <w:rPr>
          <w:rFonts w:ascii="Calibri" w:cs="Calibri" w:eastAsia="Calibri" w:hAnsi="Calibri"/>
          <w:b/>
          <w:bCs/>
          <w:color w:val="1B2A4A"/>
          <w:sz w:val="26"/>
          <w:szCs w:val="26"/>
        </w:rPr>
        <w:t xml:space="preserve">6.2 Other Sources</w:t>
      </w:r>
    </w:p>
    <w:p>
      <w:pPr>
        <w:pStyle w:val="ListParagraph"/>
        <w:numPr>
          <w:ilvl w:val="0"/>
          <w:numId w:val="2"/>
        </w:numPr>
        <w:spacing w:after="40" w:before="40"/>
      </w:pPr>
      <w:r>
        <w:rPr>
          <w:rFonts w:ascii="Calibri" w:cs="Calibri" w:eastAsia="Calibri" w:hAnsi="Calibri"/>
          <w:color w:val="333333"/>
          <w:sz w:val="22"/>
          <w:szCs w:val="22"/>
        </w:rPr>
        <w:t xml:space="preserve">Wastewater treatment plants and collection systems</w:t>
      </w:r>
    </w:p>
    <w:p>
      <w:pPr>
        <w:pStyle w:val="ListParagraph"/>
        <w:numPr>
          <w:ilvl w:val="0"/>
          <w:numId w:val="2"/>
        </w:numPr>
        <w:spacing w:after="40" w:before="40"/>
      </w:pPr>
      <w:r>
        <w:rPr>
          <w:rFonts w:ascii="Calibri" w:cs="Calibri" w:eastAsia="Calibri" w:hAnsi="Calibri"/>
          <w:color w:val="333333"/>
          <w:sz w:val="22"/>
          <w:szCs w:val="22"/>
        </w:rPr>
        <w:t xml:space="preserve">Confined spaces (manholes, vaults, pits, tanks)</w:t>
      </w:r>
    </w:p>
    <w:p>
      <w:pPr>
        <w:pStyle w:val="ListParagraph"/>
        <w:numPr>
          <w:ilvl w:val="0"/>
          <w:numId w:val="2"/>
        </w:numPr>
        <w:spacing w:after="40" w:before="40"/>
      </w:pPr>
      <w:r>
        <w:rPr>
          <w:rFonts w:ascii="Calibri" w:cs="Calibri" w:eastAsia="Calibri" w:hAnsi="Calibri"/>
          <w:color w:val="333333"/>
          <w:sz w:val="22"/>
          <w:szCs w:val="22"/>
        </w:rPr>
        <w:t xml:space="preserve">Landfills and waste disposal facilities</w:t>
      </w:r>
    </w:p>
    <w:p>
      <w:pPr>
        <w:pStyle w:val="ListParagraph"/>
        <w:numPr>
          <w:ilvl w:val="0"/>
          <w:numId w:val="2"/>
        </w:numPr>
        <w:spacing w:after="40" w:before="40"/>
      </w:pPr>
      <w:r>
        <w:rPr>
          <w:rFonts w:ascii="Calibri" w:cs="Calibri" w:eastAsia="Calibri" w:hAnsi="Calibri"/>
          <w:color w:val="333333"/>
          <w:sz w:val="22"/>
          <w:szCs w:val="22"/>
        </w:rPr>
        <w:t xml:space="preserve">Pulp and paper mills</w:t>
      </w:r>
    </w:p>
    <w:p>
      <w:pPr>
        <w:pStyle w:val="ListParagraph"/>
        <w:numPr>
          <w:ilvl w:val="0"/>
          <w:numId w:val="2"/>
        </w:numPr>
        <w:spacing w:after="40" w:before="40"/>
      </w:pPr>
      <w:r>
        <w:rPr>
          <w:rFonts w:ascii="Calibri" w:cs="Calibri" w:eastAsia="Calibri" w:hAnsi="Calibri"/>
          <w:color w:val="333333"/>
          <w:sz w:val="22"/>
          <w:szCs w:val="22"/>
        </w:rPr>
        <w:t xml:space="preserve">Agricultural operations (manure pits, silos)</w:t>
      </w:r>
    </w:p>
    <w:p>
      <w:pPr>
        <w:pStyle w:val="ListParagraph"/>
        <w:numPr>
          <w:ilvl w:val="0"/>
          <w:numId w:val="2"/>
        </w:numPr>
        <w:spacing w:after="40" w:before="40"/>
      </w:pPr>
      <w:r>
        <w:rPr>
          <w:rFonts w:ascii="Calibri" w:cs="Calibri" w:eastAsia="Calibri" w:hAnsi="Calibri"/>
          <w:color w:val="333333"/>
          <w:sz w:val="22"/>
          <w:szCs w:val="22"/>
        </w:rPr>
        <w:t xml:space="preserve">Geothermal areas and hot springs</w:t>
      </w:r>
    </w:p>
    <w:p>
      <w:r>
        <w:br w:type="page"/>
      </w:r>
    </w:p>
    <w:p>
      <w:pPr>
        <w:pStyle w:val="Heading1"/>
      </w:pPr>
      <w:r>
        <w:rPr>
          <w:rFonts w:ascii="Calibri" w:cs="Calibri" w:eastAsia="Calibri" w:hAnsi="Calibri"/>
          <w:b/>
          <w:bCs/>
          <w:color w:val="1B2A4A"/>
          <w:sz w:val="32"/>
          <w:szCs w:val="32"/>
        </w:rPr>
        <w:t xml:space="preserve">7. Roles &amp; Responsibilities</w:t>
      </w:r>
    </w:p>
    <w:p>
      <w:pPr>
        <w:pStyle w:val="Heading2"/>
      </w:pPr>
      <w:r>
        <w:rPr>
          <w:rFonts w:ascii="Calibri" w:cs="Calibri" w:eastAsia="Calibri" w:hAnsi="Calibri"/>
          <w:b/>
          <w:bCs/>
          <w:color w:val="1B2A4A"/>
          <w:sz w:val="26"/>
          <w:szCs w:val="26"/>
        </w:rPr>
        <w:t xml:space="preserve">7.1 Management</w:t>
      </w:r>
    </w:p>
    <w:p>
      <w:pPr>
        <w:pStyle w:val="ListParagraph"/>
        <w:numPr>
          <w:ilvl w:val="0"/>
          <w:numId w:val="2"/>
        </w:numPr>
        <w:spacing w:after="40" w:before="40"/>
      </w:pPr>
      <w:r>
        <w:rPr>
          <w:rFonts w:ascii="Calibri" w:cs="Calibri" w:eastAsia="Calibri" w:hAnsi="Calibri"/>
          <w:color w:val="333333"/>
          <w:sz w:val="22"/>
          <w:szCs w:val="22"/>
        </w:rPr>
        <w:t xml:space="preserve">Ensure H2S hazard assessments are conducted for all applicable work locations</w:t>
      </w:r>
    </w:p>
    <w:p>
      <w:pPr>
        <w:pStyle w:val="ListParagraph"/>
        <w:numPr>
          <w:ilvl w:val="0"/>
          <w:numId w:val="2"/>
        </w:numPr>
        <w:spacing w:after="40" w:before="40"/>
      </w:pPr>
      <w:r>
        <w:rPr>
          <w:rFonts w:ascii="Calibri" w:cs="Calibri" w:eastAsia="Calibri" w:hAnsi="Calibri"/>
          <w:color w:val="333333"/>
          <w:sz w:val="22"/>
          <w:szCs w:val="22"/>
        </w:rPr>
        <w:t xml:space="preserve">Provide monitoring equipment, respiratory protection, and rescue equipment</w:t>
      </w:r>
    </w:p>
    <w:p>
      <w:pPr>
        <w:pStyle w:val="ListParagraph"/>
        <w:numPr>
          <w:ilvl w:val="0"/>
          <w:numId w:val="2"/>
        </w:numPr>
        <w:spacing w:after="40" w:before="40"/>
      </w:pPr>
      <w:r>
        <w:rPr>
          <w:rFonts w:ascii="Calibri" w:cs="Calibri" w:eastAsia="Calibri" w:hAnsi="Calibri"/>
          <w:color w:val="333333"/>
          <w:sz w:val="22"/>
          <w:szCs w:val="22"/>
        </w:rPr>
        <w:t xml:space="preserve">Establish H2S danger zones, alarm systems, and evacuation routes</w:t>
      </w:r>
    </w:p>
    <w:p>
      <w:pPr>
        <w:pStyle w:val="ListParagraph"/>
        <w:numPr>
          <w:ilvl w:val="0"/>
          <w:numId w:val="2"/>
        </w:numPr>
        <w:spacing w:after="40" w:before="40"/>
      </w:pPr>
      <w:r>
        <w:rPr>
          <w:rFonts w:ascii="Calibri" w:cs="Calibri" w:eastAsia="Calibri" w:hAnsi="Calibri"/>
          <w:color w:val="333333"/>
          <w:sz w:val="22"/>
          <w:szCs w:val="22"/>
        </w:rPr>
        <w:t xml:space="preserve">Ensure adequate staffing for buddy system compliance</w:t>
      </w:r>
    </w:p>
    <w:p>
      <w:pPr>
        <w:pStyle w:val="Heading2"/>
      </w:pPr>
      <w:r>
        <w:rPr>
          <w:rFonts w:ascii="Calibri" w:cs="Calibri" w:eastAsia="Calibri" w:hAnsi="Calibri"/>
          <w:b/>
          <w:bCs/>
          <w:color w:val="1B2A4A"/>
          <w:sz w:val="26"/>
          <w:szCs w:val="26"/>
        </w:rPr>
        <w:t xml:space="preserve">7.2 Supervisors</w:t>
      </w:r>
    </w:p>
    <w:p>
      <w:pPr>
        <w:pStyle w:val="ListParagraph"/>
        <w:numPr>
          <w:ilvl w:val="0"/>
          <w:numId w:val="2"/>
        </w:numPr>
        <w:spacing w:after="40" w:before="40"/>
      </w:pPr>
      <w:r>
        <w:rPr>
          <w:rFonts w:ascii="Calibri" w:cs="Calibri" w:eastAsia="Calibri" w:hAnsi="Calibri"/>
          <w:color w:val="333333"/>
          <w:sz w:val="22"/>
          <w:szCs w:val="22"/>
        </w:rPr>
        <w:t xml:space="preserve">Verify atmospheric monitoring before and during H2S operations</w:t>
      </w:r>
    </w:p>
    <w:p>
      <w:pPr>
        <w:pStyle w:val="ListParagraph"/>
        <w:numPr>
          <w:ilvl w:val="0"/>
          <w:numId w:val="2"/>
        </w:numPr>
        <w:spacing w:after="40" w:before="40"/>
      </w:pPr>
      <w:r>
        <w:rPr>
          <w:rFonts w:ascii="Calibri" w:cs="Calibri" w:eastAsia="Calibri" w:hAnsi="Calibri"/>
          <w:color w:val="333333"/>
          <w:sz w:val="22"/>
          <w:szCs w:val="22"/>
        </w:rPr>
        <w:t xml:space="preserve">Enforce buddy system, PPE requirements, and wind direction awareness</w:t>
      </w:r>
    </w:p>
    <w:p>
      <w:pPr>
        <w:pStyle w:val="ListParagraph"/>
        <w:numPr>
          <w:ilvl w:val="0"/>
          <w:numId w:val="2"/>
        </w:numPr>
        <w:spacing w:after="40" w:before="40"/>
      </w:pPr>
      <w:r>
        <w:rPr>
          <w:rFonts w:ascii="Calibri" w:cs="Calibri" w:eastAsia="Calibri" w:hAnsi="Calibri"/>
          <w:color w:val="333333"/>
          <w:sz w:val="22"/>
          <w:szCs w:val="22"/>
        </w:rPr>
        <w:t xml:space="preserve">Ensure all personnel on-site are H2S-trained before work begins</w:t>
      </w:r>
    </w:p>
    <w:p>
      <w:pPr>
        <w:pStyle w:val="ListParagraph"/>
        <w:numPr>
          <w:ilvl w:val="0"/>
          <w:numId w:val="2"/>
        </w:numPr>
        <w:spacing w:after="40" w:before="40"/>
      </w:pPr>
      <w:r>
        <w:rPr>
          <w:rFonts w:ascii="Calibri" w:cs="Calibri" w:eastAsia="Calibri" w:hAnsi="Calibri"/>
          <w:color w:val="333333"/>
          <w:sz w:val="22"/>
          <w:szCs w:val="22"/>
        </w:rPr>
        <w:t xml:space="preserve">Brief all workers on evacuation routes, alarm signals, and assembly points</w:t>
      </w:r>
    </w:p>
    <w:p>
      <w:pPr>
        <w:pStyle w:val="Heading2"/>
      </w:pPr>
      <w:r>
        <w:rPr>
          <w:rFonts w:ascii="Calibri" w:cs="Calibri" w:eastAsia="Calibri" w:hAnsi="Calibri"/>
          <w:b/>
          <w:bCs/>
          <w:color w:val="1B2A4A"/>
          <w:sz w:val="26"/>
          <w:szCs w:val="26"/>
        </w:rPr>
        <w:t xml:space="preserve">7.3 Employees</w:t>
      </w:r>
    </w:p>
    <w:p>
      <w:pPr>
        <w:pStyle w:val="ListParagraph"/>
        <w:numPr>
          <w:ilvl w:val="0"/>
          <w:numId w:val="2"/>
        </w:numPr>
        <w:spacing w:after="40" w:before="40"/>
      </w:pPr>
      <w:r>
        <w:rPr>
          <w:rFonts w:ascii="Calibri" w:cs="Calibri" w:eastAsia="Calibri" w:hAnsi="Calibri"/>
          <w:color w:val="333333"/>
          <w:sz w:val="22"/>
          <w:szCs w:val="22"/>
        </w:rPr>
        <w:t xml:space="preserve">Attend and complete required H2S safety training</w:t>
      </w:r>
    </w:p>
    <w:p>
      <w:pPr>
        <w:pStyle w:val="ListParagraph"/>
        <w:numPr>
          <w:ilvl w:val="0"/>
          <w:numId w:val="2"/>
        </w:numPr>
        <w:spacing w:after="40" w:before="40"/>
      </w:pPr>
      <w:r>
        <w:rPr>
          <w:rFonts w:ascii="Calibri" w:cs="Calibri" w:eastAsia="Calibri" w:hAnsi="Calibri"/>
          <w:color w:val="333333"/>
          <w:sz w:val="22"/>
          <w:szCs w:val="22"/>
        </w:rPr>
        <w:t xml:space="preserve">Use personal and area monitors as required</w:t>
      </w:r>
    </w:p>
    <w:p>
      <w:pPr>
        <w:pStyle w:val="ListParagraph"/>
        <w:numPr>
          <w:ilvl w:val="0"/>
          <w:numId w:val="2"/>
        </w:numPr>
        <w:spacing w:after="40" w:before="40"/>
      </w:pPr>
      <w:r>
        <w:rPr>
          <w:rFonts w:ascii="Calibri" w:cs="Calibri" w:eastAsia="Calibri" w:hAnsi="Calibri"/>
          <w:color w:val="333333"/>
          <w:sz w:val="22"/>
          <w:szCs w:val="22"/>
        </w:rPr>
        <w:t xml:space="preserve">Know evacuation routes and emergency assembly points</w:t>
      </w:r>
    </w:p>
    <w:p>
      <w:pPr>
        <w:pStyle w:val="ListParagraph"/>
        <w:numPr>
          <w:ilvl w:val="0"/>
          <w:numId w:val="2"/>
        </w:numPr>
        <w:spacing w:after="40" w:before="40"/>
      </w:pPr>
      <w:r>
        <w:rPr>
          <w:rFonts w:ascii="Calibri" w:cs="Calibri" w:eastAsia="Calibri" w:hAnsi="Calibri"/>
          <w:color w:val="333333"/>
          <w:sz w:val="22"/>
          <w:szCs w:val="22"/>
        </w:rPr>
        <w:t xml:space="preserve">Never enter an H2S-contaminated area without proper PPE and authorization</w:t>
      </w:r>
    </w:p>
    <w:p>
      <w:pPr>
        <w:pStyle w:val="ListParagraph"/>
        <w:numPr>
          <w:ilvl w:val="0"/>
          <w:numId w:val="2"/>
        </w:numPr>
        <w:spacing w:after="40" w:before="40"/>
      </w:pPr>
      <w:r>
        <w:rPr>
          <w:rFonts w:ascii="Calibri" w:cs="Calibri" w:eastAsia="Calibri" w:hAnsi="Calibri"/>
          <w:color w:val="333333"/>
          <w:sz w:val="22"/>
          <w:szCs w:val="22"/>
        </w:rPr>
        <w:t xml:space="preserve">Report all alarms, leaks, and suspected H2S exposures immediately</w:t>
      </w:r>
    </w:p>
    <w:p>
      <w:pPr>
        <w:pStyle w:val="Heading1"/>
      </w:pPr>
      <w:r>
        <w:rPr>
          <w:rFonts w:ascii="Calibri" w:cs="Calibri" w:eastAsia="Calibri" w:hAnsi="Calibri"/>
          <w:b/>
          <w:bCs/>
          <w:color w:val="1B2A4A"/>
          <w:sz w:val="32"/>
          <w:szCs w:val="32"/>
        </w:rPr>
        <w:t xml:space="preserve">8. Atmospheric Monitoring</w:t>
      </w:r>
    </w:p>
    <w:p>
      <w:pPr>
        <w:pStyle w:val="Heading2"/>
      </w:pPr>
      <w:r>
        <w:rPr>
          <w:rFonts w:ascii="Calibri" w:cs="Calibri" w:eastAsia="Calibri" w:hAnsi="Calibri"/>
          <w:b/>
          <w:bCs/>
          <w:color w:val="1B2A4A"/>
          <w:sz w:val="26"/>
          <w:szCs w:val="26"/>
        </w:rPr>
        <w:t xml:space="preserve">8.1 Equipment Requirements</w:t>
      </w:r>
    </w:p>
    <w:p>
      <w:pPr>
        <w:pStyle w:val="ListParagraph"/>
        <w:numPr>
          <w:ilvl w:val="0"/>
          <w:numId w:val="2"/>
        </w:numPr>
        <w:spacing w:after="40" w:before="40"/>
      </w:pPr>
      <w:r>
        <w:rPr>
          <w:rFonts w:ascii="Calibri" w:cs="Calibri" w:eastAsia="Calibri" w:hAnsi="Calibri"/>
          <w:color w:val="333333"/>
          <w:sz w:val="22"/>
          <w:szCs w:val="22"/>
        </w:rPr>
        <w:t xml:space="preserve">Calibrated personal H2S monitors shall be worn by all personnel in H2S areas</w:t>
      </w:r>
    </w:p>
    <w:p>
      <w:pPr>
        <w:pStyle w:val="ListParagraph"/>
        <w:numPr>
          <w:ilvl w:val="0"/>
          <w:numId w:val="2"/>
        </w:numPr>
        <w:spacing w:after="40" w:before="40"/>
      </w:pPr>
      <w:r>
        <w:rPr>
          <w:rFonts w:ascii="Calibri" w:cs="Calibri" w:eastAsia="Calibri" w:hAnsi="Calibri"/>
          <w:color w:val="333333"/>
          <w:sz w:val="22"/>
          <w:szCs w:val="22"/>
        </w:rPr>
        <w:t xml:space="preserve">Area monitors shall be placed at strategic locations around work zones</w:t>
      </w:r>
    </w:p>
    <w:p>
      <w:pPr>
        <w:pStyle w:val="ListParagraph"/>
        <w:numPr>
          <w:ilvl w:val="0"/>
          <w:numId w:val="2"/>
        </w:numPr>
        <w:spacing w:after="40" w:before="40"/>
      </w:pPr>
      <w:r>
        <w:rPr>
          <w:rFonts w:ascii="Calibri" w:cs="Calibri" w:eastAsia="Calibri" w:hAnsi="Calibri"/>
          <w:color w:val="333333"/>
          <w:sz w:val="22"/>
          <w:szCs w:val="22"/>
        </w:rPr>
        <w:t xml:space="preserve">Monitors shall be bump-tested daily and calibrated per manufacturer specifications</w:t>
      </w:r>
    </w:p>
    <w:p>
      <w:pPr>
        <w:pStyle w:val="ListParagraph"/>
        <w:numPr>
          <w:ilvl w:val="0"/>
          <w:numId w:val="2"/>
        </w:numPr>
        <w:spacing w:after="40" w:before="40"/>
      </w:pPr>
      <w:r>
        <w:rPr>
          <w:rFonts w:ascii="Calibri" w:cs="Calibri" w:eastAsia="Calibri" w:hAnsi="Calibri"/>
          <w:color w:val="333333"/>
          <w:sz w:val="22"/>
          <w:szCs w:val="22"/>
        </w:rPr>
        <w:t xml:space="preserve">Spare batteries and sensor replacements shall be available on-site</w:t>
      </w:r>
    </w:p>
    <w:p>
      <w:pPr>
        <w:pStyle w:val="Heading2"/>
      </w:pPr>
      <w:r>
        <w:rPr>
          <w:rFonts w:ascii="Calibri" w:cs="Calibri" w:eastAsia="Calibri" w:hAnsi="Calibri"/>
          <w:b/>
          <w:bCs/>
          <w:color w:val="1B2A4A"/>
          <w:sz w:val="26"/>
          <w:szCs w:val="26"/>
        </w:rPr>
        <w:t xml:space="preserve">8.2 Alarm Set Points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2360"/>
        <w:gridCol w:w="5000"/>
      </w:tblGrid>
      <w:tr>
        <w:tc>
          <w:tcPr>
            <w:tcW w:type="dxa" w:w="2000"/>
            <w:tcBorders>
              <w:top w:val="single" w:color="B0B0B0" w:sz="1"/>
              <w:left w:val="single" w:color="B0B0B0" w:sz="1"/>
              <w:bottom w:val="single" w:color="B0B0B0" w:sz="1"/>
              <w:right w:val="single" w:color="B0B0B0" w:sz="1"/>
            </w:tcBorders>
            <w:shd w:fill="1B2A4A" w:val="clear"/>
            <w:tcMar>
              <w:top w:type="dxa" w:w="60"/>
              <w:left w:type="dxa" w:w="80"/>
              <w:bottom w:type="dxa" w:w="60"/>
              <w:right w:type="dxa" w:w="80"/>
            </w:tcMar>
            <w:vAlign w:val="center"/>
          </w:tcPr>
          <w:p>
            <w:pPr>
              <w:jc w:val="center"/>
            </w:pPr>
            <w:r>
              <w:rPr>
                <w:rFonts w:ascii="Calibri" w:cs="Calibri" w:eastAsia="Calibri" w:hAnsi="Calibri"/>
                <w:b/>
                <w:bCs/>
                <w:color w:val="FFFFFF"/>
                <w:sz w:val="20"/>
                <w:szCs w:val="20"/>
              </w:rPr>
              <w:t xml:space="preserve">Alarm Level</w:t>
            </w:r>
          </w:p>
        </w:tc>
        <w:tc>
          <w:tcPr>
            <w:tcW w:type="dxa" w:w="2360"/>
            <w:tcBorders>
              <w:top w:val="single" w:color="B0B0B0" w:sz="1"/>
              <w:left w:val="single" w:color="B0B0B0" w:sz="1"/>
              <w:bottom w:val="single" w:color="B0B0B0" w:sz="1"/>
              <w:right w:val="single" w:color="B0B0B0" w:sz="1"/>
            </w:tcBorders>
            <w:shd w:fill="1B2A4A" w:val="clear"/>
            <w:tcMar>
              <w:top w:type="dxa" w:w="60"/>
              <w:left w:type="dxa" w:w="80"/>
              <w:bottom w:type="dxa" w:w="60"/>
              <w:right w:type="dxa" w:w="80"/>
            </w:tcMar>
            <w:vAlign w:val="center"/>
          </w:tcPr>
          <w:p>
            <w:pPr>
              <w:jc w:val="center"/>
            </w:pPr>
            <w:r>
              <w:rPr>
                <w:rFonts w:ascii="Calibri" w:cs="Calibri" w:eastAsia="Calibri" w:hAnsi="Calibri"/>
                <w:b/>
                <w:bCs/>
                <w:color w:val="FFFFFF"/>
                <w:sz w:val="20"/>
                <w:szCs w:val="20"/>
              </w:rPr>
              <w:t xml:space="preserve">Concentration</w:t>
            </w:r>
          </w:p>
        </w:tc>
        <w:tc>
          <w:tcPr>
            <w:tcW w:type="dxa" w:w="5000"/>
            <w:tcBorders>
              <w:top w:val="single" w:color="B0B0B0" w:sz="1"/>
              <w:left w:val="single" w:color="B0B0B0" w:sz="1"/>
              <w:bottom w:val="single" w:color="B0B0B0" w:sz="1"/>
              <w:right w:val="single" w:color="B0B0B0" w:sz="1"/>
            </w:tcBorders>
            <w:shd w:fill="1B2A4A" w:val="clear"/>
            <w:tcMar>
              <w:top w:type="dxa" w:w="60"/>
              <w:left w:type="dxa" w:w="80"/>
              <w:bottom w:type="dxa" w:w="60"/>
              <w:right w:type="dxa" w:w="80"/>
            </w:tcMar>
            <w:vAlign w:val="center"/>
          </w:tcPr>
          <w:p>
            <w:pPr>
              <w:jc w:val="center"/>
            </w:pPr>
            <w:r>
              <w:rPr>
                <w:rFonts w:ascii="Calibri" w:cs="Calibri" w:eastAsia="Calibri" w:hAnsi="Calibri"/>
                <w:b/>
                <w:bCs/>
                <w:color w:val="FFFFFF"/>
                <w:sz w:val="20"/>
                <w:szCs w:val="20"/>
              </w:rPr>
              <w:t xml:space="preserve">Action</w:t>
            </w:r>
          </w:p>
        </w:tc>
      </w:tr>
      <w:tr>
        <w:tc>
          <w:tcPr>
            <w:tcW w:type="dxa" w:w="200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Low Alarm</w:t>
            </w:r>
          </w:p>
        </w:tc>
        <w:tc>
          <w:tcPr>
            <w:tcW w:type="dxa" w:w="236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10 ppm</w:t>
            </w:r>
          </w:p>
        </w:tc>
        <w:tc>
          <w:tcPr>
            <w:tcW w:type="dxa" w:w="500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Alert — increase awareness, check wind direction, prepare to evacuate</w:t>
            </w:r>
          </w:p>
        </w:tc>
      </w:tr>
      <w:tr>
        <w:tc>
          <w:tcPr>
            <w:tcW w:type="dxa" w:w="200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High Alarm</w:t>
            </w:r>
          </w:p>
        </w:tc>
        <w:tc>
          <w:tcPr>
            <w:tcW w:type="dxa" w:w="236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20 ppm (PEL Ceiling)</w:t>
            </w:r>
          </w:p>
        </w:tc>
        <w:tc>
          <w:tcPr>
            <w:tcW w:type="dxa" w:w="500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Evacuate — move upwind and crosswind to assembly point</w:t>
            </w:r>
          </w:p>
        </w:tc>
      </w:tr>
      <w:tr>
        <w:tc>
          <w:tcPr>
            <w:tcW w:type="dxa" w:w="200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TWA Alarm</w:t>
            </w:r>
          </w:p>
        </w:tc>
        <w:tc>
          <w:tcPr>
            <w:tcW w:type="dxa" w:w="236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10 ppm (8-hr average)</w:t>
            </w:r>
          </w:p>
        </w:tc>
        <w:tc>
          <w:tcPr>
            <w:tcW w:type="dxa" w:w="500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Evacuate — cumulative exposure limit reached</w:t>
            </w:r>
          </w:p>
        </w:tc>
      </w:tr>
    </w:tbl>
    <w:p>
      <w:pPr>
        <w:spacing w:after="80" w:before="80"/>
        <w:jc w:val="left"/>
      </w:pPr>
      <w:r>
        <w:rPr>
          <w:rFonts w:ascii="Calibri" w:cs="Calibri" w:eastAsia="Calibri" w:hAnsi="Calibri"/>
          <w:b w:val="false"/>
          <w:bCs w:val="false"/>
          <w:i w:val="false"/>
          <w:iCs w:val="false"/>
          <w:color w:val="333333"/>
          <w:sz w:val="22"/>
          <w:szCs w:val="22"/>
        </w:rPr>
        <w:t xml:space="preserve"/>
      </w:r>
    </w:p>
    <w:p>
      <w:pPr>
        <w:pStyle w:val="Heading2"/>
      </w:pPr>
      <w:r>
        <w:rPr>
          <w:rFonts w:ascii="Calibri" w:cs="Calibri" w:eastAsia="Calibri" w:hAnsi="Calibri"/>
          <w:b/>
          <w:bCs/>
          <w:color w:val="1B2A4A"/>
          <w:sz w:val="26"/>
          <w:szCs w:val="26"/>
        </w:rPr>
        <w:t xml:space="preserve">8.3 Wind Direction Awareness</w:t>
      </w:r>
    </w:p>
    <w:p>
      <w:pPr>
        <w:pStyle w:val="ListParagraph"/>
        <w:numPr>
          <w:ilvl w:val="0"/>
          <w:numId w:val="2"/>
        </w:numPr>
        <w:spacing w:after="40" w:before="40"/>
      </w:pPr>
      <w:r>
        <w:rPr>
          <w:rFonts w:ascii="Calibri" w:cs="Calibri" w:eastAsia="Calibri" w:hAnsi="Calibri"/>
          <w:color w:val="333333"/>
          <w:sz w:val="22"/>
          <w:szCs w:val="22"/>
        </w:rPr>
        <w:t xml:space="preserve">Windsocks shall be installed and visible at all H2S work locations</w:t>
      </w:r>
    </w:p>
    <w:p>
      <w:pPr>
        <w:pStyle w:val="ListParagraph"/>
        <w:numPr>
          <w:ilvl w:val="0"/>
          <w:numId w:val="2"/>
        </w:numPr>
        <w:spacing w:after="40" w:before="40"/>
      </w:pPr>
      <w:r>
        <w:rPr>
          <w:rFonts w:ascii="Calibri" w:cs="Calibri" w:eastAsia="Calibri" w:hAnsi="Calibri"/>
          <w:color w:val="333333"/>
          <w:sz w:val="22"/>
          <w:szCs w:val="22"/>
        </w:rPr>
        <w:t xml:space="preserve">Workers shall be aware of wind direction at all times</w:t>
      </w:r>
    </w:p>
    <w:p>
      <w:pPr>
        <w:pStyle w:val="ListParagraph"/>
        <w:numPr>
          <w:ilvl w:val="0"/>
          <w:numId w:val="2"/>
        </w:numPr>
        <w:spacing w:after="40" w:before="40"/>
      </w:pPr>
      <w:r>
        <w:rPr>
          <w:rFonts w:ascii="Calibri" w:cs="Calibri" w:eastAsia="Calibri" w:hAnsi="Calibri"/>
          <w:color w:val="333333"/>
          <w:sz w:val="22"/>
          <w:szCs w:val="22"/>
        </w:rPr>
        <w:t xml:space="preserve">Evacuation routes shall be upwind and crosswind of the H2S source</w:t>
      </w:r>
    </w:p>
    <w:p>
      <w:pPr>
        <w:pStyle w:val="ListParagraph"/>
        <w:numPr>
          <w:ilvl w:val="0"/>
          <w:numId w:val="2"/>
        </w:numPr>
        <w:spacing w:after="40" w:before="40"/>
      </w:pPr>
      <w:r>
        <w:rPr>
          <w:rFonts w:ascii="Calibri" w:cs="Calibri" w:eastAsia="Calibri" w:hAnsi="Calibri"/>
          <w:color w:val="333333"/>
          <w:sz w:val="22"/>
          <w:szCs w:val="22"/>
        </w:rPr>
        <w:t xml:space="preserve">Briefings shall include wind direction and potential changes</w:t>
      </w:r>
    </w:p>
    <w:p>
      <w:r>
        <w:br w:type="page"/>
      </w:r>
    </w:p>
    <w:p>
      <w:pPr>
        <w:pStyle w:val="Heading1"/>
      </w:pPr>
      <w:r>
        <w:rPr>
          <w:rFonts w:ascii="Calibri" w:cs="Calibri" w:eastAsia="Calibri" w:hAnsi="Calibri"/>
          <w:b/>
          <w:bCs/>
          <w:color w:val="1B2A4A"/>
          <w:sz w:val="32"/>
          <w:szCs w:val="32"/>
        </w:rPr>
        <w:t xml:space="preserve">9. Buddy System</w:t>
      </w:r>
    </w:p>
    <w:p>
      <w:pPr>
        <w:spacing w:after="80" w:before="80"/>
        <w:jc w:val="left"/>
      </w:pPr>
      <w:r>
        <w:rPr>
          <w:rFonts w:ascii="Calibri" w:cs="Calibri" w:eastAsia="Calibri" w:hAnsi="Calibri"/>
          <w:b w:val="false"/>
          <w:bCs w:val="false"/>
          <w:i w:val="false"/>
          <w:iCs w:val="false"/>
          <w:color w:val="333333"/>
          <w:sz w:val="22"/>
          <w:szCs w:val="22"/>
        </w:rPr>
        <w:t xml:space="preserve">No person shall work alone in areas where H2S concentrations may exceed 10 ppm:</w:t>
      </w:r>
    </w:p>
    <w:p>
      <w:pPr>
        <w:pStyle w:val="ListParagraph"/>
        <w:numPr>
          <w:ilvl w:val="0"/>
          <w:numId w:val="2"/>
        </w:numPr>
        <w:spacing w:after="40" w:before="40"/>
      </w:pPr>
      <w:r>
        <w:rPr>
          <w:rFonts w:ascii="Calibri" w:cs="Calibri" w:eastAsia="Calibri" w:hAnsi="Calibri"/>
          <w:color w:val="333333"/>
          <w:sz w:val="22"/>
          <w:szCs w:val="22"/>
        </w:rPr>
        <w:t xml:space="preserve">Minimum two-person buddy system required in all H2S danger areas</w:t>
      </w:r>
    </w:p>
    <w:p>
      <w:pPr>
        <w:pStyle w:val="ListParagraph"/>
        <w:numPr>
          <w:ilvl w:val="0"/>
          <w:numId w:val="2"/>
        </w:numPr>
        <w:spacing w:after="40" w:before="40"/>
      </w:pPr>
      <w:r>
        <w:rPr>
          <w:rFonts w:ascii="Calibri" w:cs="Calibri" w:eastAsia="Calibri" w:hAnsi="Calibri"/>
          <w:color w:val="333333"/>
          <w:sz w:val="22"/>
          <w:szCs w:val="22"/>
        </w:rPr>
        <w:t xml:space="preserve">Each buddy must maintain visual and/or voice contact</w:t>
      </w:r>
    </w:p>
    <w:p>
      <w:pPr>
        <w:pStyle w:val="ListParagraph"/>
        <w:numPr>
          <w:ilvl w:val="0"/>
          <w:numId w:val="2"/>
        </w:numPr>
        <w:spacing w:after="40" w:before="40"/>
      </w:pPr>
      <w:r>
        <w:rPr>
          <w:rFonts w:ascii="Calibri" w:cs="Calibri" w:eastAsia="Calibri" w:hAnsi="Calibri"/>
          <w:color w:val="333333"/>
          <w:sz w:val="22"/>
          <w:szCs w:val="22"/>
        </w:rPr>
        <w:t xml:space="preserve">Each buddy must carry a personal H2S monitor and have access to escape SCBA</w:t>
      </w:r>
    </w:p>
    <w:p>
      <w:pPr>
        <w:pStyle w:val="ListParagraph"/>
        <w:numPr>
          <w:ilvl w:val="0"/>
          <w:numId w:val="2"/>
        </w:numPr>
        <w:spacing w:after="40" w:before="40"/>
      </w:pPr>
      <w:r>
        <w:rPr>
          <w:rFonts w:ascii="Calibri" w:cs="Calibri" w:eastAsia="Calibri" w:hAnsi="Calibri"/>
          <w:color w:val="333333"/>
          <w:sz w:val="22"/>
          <w:szCs w:val="22"/>
        </w:rPr>
        <w:t xml:space="preserve">Buddy pairs shall monitor each other for signs of H2S exposure</w:t>
      </w:r>
    </w:p>
    <w:p>
      <w:pPr>
        <w:pStyle w:val="Heading1"/>
      </w:pPr>
      <w:r>
        <w:rPr>
          <w:rFonts w:ascii="Calibri" w:cs="Calibri" w:eastAsia="Calibri" w:hAnsi="Calibri"/>
          <w:b/>
          <w:bCs/>
          <w:color w:val="1B2A4A"/>
          <w:sz w:val="32"/>
          <w:szCs w:val="32"/>
        </w:rPr>
        <w:t xml:space="preserve">10. Escape Route Planning</w:t>
      </w:r>
    </w:p>
    <w:p>
      <w:pPr>
        <w:pStyle w:val="ListParagraph"/>
        <w:numPr>
          <w:ilvl w:val="0"/>
          <w:numId w:val="2"/>
        </w:numPr>
        <w:spacing w:after="40" w:before="40"/>
      </w:pPr>
      <w:r>
        <w:rPr>
          <w:rFonts w:ascii="Calibri" w:cs="Calibri" w:eastAsia="Calibri" w:hAnsi="Calibri"/>
          <w:color w:val="333333"/>
          <w:sz w:val="22"/>
          <w:szCs w:val="22"/>
        </w:rPr>
        <w:t xml:space="preserve">Primary and secondary evacuation routes shall be established and communicated</w:t>
      </w:r>
    </w:p>
    <w:p>
      <w:pPr>
        <w:pStyle w:val="ListParagraph"/>
        <w:numPr>
          <w:ilvl w:val="0"/>
          <w:numId w:val="2"/>
        </w:numPr>
        <w:spacing w:after="40" w:before="40"/>
      </w:pPr>
      <w:r>
        <w:rPr>
          <w:rFonts w:ascii="Calibri" w:cs="Calibri" w:eastAsia="Calibri" w:hAnsi="Calibri"/>
          <w:color w:val="333333"/>
          <w:sz w:val="22"/>
          <w:szCs w:val="22"/>
        </w:rPr>
        <w:t xml:space="preserve">Routes shall be upwind and/or crosswind from potential H2S sources</w:t>
      </w:r>
    </w:p>
    <w:p>
      <w:pPr>
        <w:pStyle w:val="ListParagraph"/>
        <w:numPr>
          <w:ilvl w:val="0"/>
          <w:numId w:val="2"/>
        </w:numPr>
        <w:spacing w:after="40" w:before="40"/>
      </w:pPr>
      <w:r>
        <w:rPr>
          <w:rFonts w:ascii="Calibri" w:cs="Calibri" w:eastAsia="Calibri" w:hAnsi="Calibri"/>
          <w:color w:val="333333"/>
          <w:sz w:val="22"/>
          <w:szCs w:val="22"/>
        </w:rPr>
        <w:t xml:space="preserve">Evacuation maps posted at visible locations around the work area</w:t>
      </w:r>
    </w:p>
    <w:p>
      <w:pPr>
        <w:pStyle w:val="ListParagraph"/>
        <w:numPr>
          <w:ilvl w:val="0"/>
          <w:numId w:val="2"/>
        </w:numPr>
        <w:spacing w:after="40" w:before="40"/>
      </w:pPr>
      <w:r>
        <w:rPr>
          <w:rFonts w:ascii="Calibri" w:cs="Calibri" w:eastAsia="Calibri" w:hAnsi="Calibri"/>
          <w:color w:val="333333"/>
          <w:sz w:val="22"/>
          <w:szCs w:val="22"/>
        </w:rPr>
        <w:t xml:space="preserve">Wind direction indicators (windsocks) at assembly points</w:t>
      </w:r>
    </w:p>
    <w:p>
      <w:pPr>
        <w:pStyle w:val="ListParagraph"/>
        <w:numPr>
          <w:ilvl w:val="0"/>
          <w:numId w:val="2"/>
        </w:numPr>
        <w:spacing w:after="40" w:before="40"/>
      </w:pPr>
      <w:r>
        <w:rPr>
          <w:rFonts w:ascii="Calibri" w:cs="Calibri" w:eastAsia="Calibri" w:hAnsi="Calibri"/>
          <w:color w:val="333333"/>
          <w:sz w:val="22"/>
          <w:szCs w:val="22"/>
        </w:rPr>
        <w:t xml:space="preserve">Muster/assembly points at safe distances upwind of the source</w:t>
      </w:r>
    </w:p>
    <w:p>
      <w:pPr>
        <w:pStyle w:val="ListParagraph"/>
        <w:numPr>
          <w:ilvl w:val="0"/>
          <w:numId w:val="2"/>
        </w:numPr>
        <w:spacing w:after="40" w:before="40"/>
      </w:pPr>
      <w:r>
        <w:rPr>
          <w:rFonts w:ascii="Calibri" w:cs="Calibri" w:eastAsia="Calibri" w:hAnsi="Calibri"/>
          <w:color w:val="333333"/>
          <w:sz w:val="22"/>
          <w:szCs w:val="22"/>
        </w:rPr>
        <w:t xml:space="preserve">Regular drills to ensure all personnel are familiar with evacuation procedures</w:t>
      </w:r>
    </w:p>
    <w:p>
      <w:pPr>
        <w:pStyle w:val="Heading1"/>
      </w:pPr>
      <w:r>
        <w:rPr>
          <w:rFonts w:ascii="Calibri" w:cs="Calibri" w:eastAsia="Calibri" w:hAnsi="Calibri"/>
          <w:b/>
          <w:bCs/>
          <w:color w:val="1B2A4A"/>
          <w:sz w:val="32"/>
          <w:szCs w:val="32"/>
        </w:rPr>
        <w:t xml:space="preserve">11. Respiratory Protection</w:t>
      </w:r>
    </w:p>
    <w:p>
      <w:pPr>
        <w:spacing w:after="80" w:before="80"/>
        <w:jc w:val="left"/>
      </w:pPr>
      <w:r>
        <w:rPr>
          <w:rFonts w:ascii="Calibri" w:cs="Calibri" w:eastAsia="Calibri" w:hAnsi="Calibri"/>
          <w:b w:val="false"/>
          <w:bCs w:val="false"/>
          <w:i w:val="false"/>
          <w:iCs w:val="false"/>
          <w:color w:val="333333"/>
          <w:sz w:val="22"/>
          <w:szCs w:val="22"/>
        </w:rPr>
        <w:t xml:space="preserve">Respiratory protection for H2S shall follow this hierarchy: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6240"/>
      </w:tblGrid>
      <w:tr>
        <w:tc>
          <w:tcPr>
            <w:tcW w:type="dxa" w:w="3120"/>
            <w:tcBorders>
              <w:top w:val="single" w:color="B0B0B0" w:sz="1"/>
              <w:left w:val="single" w:color="B0B0B0" w:sz="1"/>
              <w:bottom w:val="single" w:color="B0B0B0" w:sz="1"/>
              <w:right w:val="single" w:color="B0B0B0" w:sz="1"/>
            </w:tcBorders>
            <w:shd w:fill="1B2A4A" w:val="clear"/>
            <w:tcMar>
              <w:top w:type="dxa" w:w="60"/>
              <w:left w:type="dxa" w:w="80"/>
              <w:bottom w:type="dxa" w:w="60"/>
              <w:right w:type="dxa" w:w="80"/>
            </w:tcMar>
            <w:vAlign w:val="center"/>
          </w:tcPr>
          <w:p>
            <w:pPr>
              <w:jc w:val="center"/>
            </w:pPr>
            <w:r>
              <w:rPr>
                <w:rFonts w:ascii="Calibri" w:cs="Calibri" w:eastAsia="Calibri" w:hAnsi="Calibri"/>
                <w:b/>
                <w:bCs/>
                <w:color w:val="FFFFFF"/>
                <w:sz w:val="20"/>
                <w:szCs w:val="20"/>
              </w:rPr>
              <w:t xml:space="preserve">Exposure Level</w:t>
            </w:r>
          </w:p>
        </w:tc>
        <w:tc>
          <w:tcPr>
            <w:tcW w:type="dxa" w:w="6240"/>
            <w:tcBorders>
              <w:top w:val="single" w:color="B0B0B0" w:sz="1"/>
              <w:left w:val="single" w:color="B0B0B0" w:sz="1"/>
              <w:bottom w:val="single" w:color="B0B0B0" w:sz="1"/>
              <w:right w:val="single" w:color="B0B0B0" w:sz="1"/>
            </w:tcBorders>
            <w:shd w:fill="1B2A4A" w:val="clear"/>
            <w:tcMar>
              <w:top w:type="dxa" w:w="60"/>
              <w:left w:type="dxa" w:w="80"/>
              <w:bottom w:type="dxa" w:w="60"/>
              <w:right w:type="dxa" w:w="80"/>
            </w:tcMar>
            <w:vAlign w:val="center"/>
          </w:tcPr>
          <w:p>
            <w:pPr>
              <w:jc w:val="center"/>
            </w:pPr>
            <w:r>
              <w:rPr>
                <w:rFonts w:ascii="Calibri" w:cs="Calibri" w:eastAsia="Calibri" w:hAnsi="Calibri"/>
                <w:b/>
                <w:bCs/>
                <w:color w:val="FFFFFF"/>
                <w:sz w:val="20"/>
                <w:szCs w:val="20"/>
              </w:rPr>
              <w:t xml:space="preserve">Required Respiratory Protection</w:t>
            </w:r>
          </w:p>
        </w:tc>
      </w:tr>
      <w:tr>
        <w:tc>
          <w:tcPr>
            <w:tcW w:type="dxa" w:w="312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Below 10 ppm</w:t>
            </w:r>
          </w:p>
        </w:tc>
        <w:tc>
          <w:tcPr>
            <w:tcW w:type="dxa" w:w="624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No respiratory protection required (monitoring continues)</w:t>
            </w:r>
          </w:p>
        </w:tc>
      </w:tr>
      <w:tr>
        <w:tc>
          <w:tcPr>
            <w:tcW w:type="dxa" w:w="312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10 – 50 ppm</w:t>
            </w:r>
          </w:p>
        </w:tc>
        <w:tc>
          <w:tcPr>
            <w:tcW w:type="dxa" w:w="624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Full-face APR with appropriate cartridges (only for escape, not for entry)</w:t>
            </w:r>
          </w:p>
        </w:tc>
      </w:tr>
      <w:tr>
        <w:tc>
          <w:tcPr>
            <w:tcW w:type="dxa" w:w="312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50 – 100 ppm</w:t>
            </w:r>
          </w:p>
        </w:tc>
        <w:tc>
          <w:tcPr>
            <w:tcW w:type="dxa" w:w="624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Full-face SAR (Supplied Air Respirator) in pressure-demand mode</w:t>
            </w:r>
          </w:p>
        </w:tc>
      </w:tr>
      <w:tr>
        <w:tc>
          <w:tcPr>
            <w:tcW w:type="dxa" w:w="312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Above 100 ppm (IDLH)</w:t>
            </w:r>
          </w:p>
        </w:tc>
        <w:tc>
          <w:tcPr>
            <w:tcW w:type="dxa" w:w="624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Full-face pressure-demand SCBA or combination SCBA/SAR</w:t>
            </w:r>
          </w:p>
        </w:tc>
      </w:tr>
      <w:tr>
        <w:tc>
          <w:tcPr>
            <w:tcW w:type="dxa" w:w="312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Unknown concentration</w:t>
            </w:r>
          </w:p>
        </w:tc>
        <w:tc>
          <w:tcPr>
            <w:tcW w:type="dxa" w:w="624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Full-face pressure-demand SCBA</w:t>
            </w:r>
          </w:p>
        </w:tc>
      </w:tr>
    </w:tbl>
    <w:p>
      <w:pPr>
        <w:spacing w:after="80" w:before="80"/>
        <w:jc w:val="left"/>
      </w:pPr>
      <w:r>
        <w:rPr>
          <w:rFonts w:ascii="Calibri" w:cs="Calibri" w:eastAsia="Calibri" w:hAnsi="Calibri"/>
          <w:b w:val="false"/>
          <w:bCs w:val="false"/>
          <w:i w:val="false"/>
          <w:iCs w:val="false"/>
          <w:color w:val="333333"/>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E8A838" w:sz="1"/>
              <w:left w:val="single" w:color="E8A838" w:sz="6"/>
              <w:bottom w:val="single" w:color="E8A838" w:sz="1"/>
              <w:right w:val="single" w:color="E8A838" w:sz="1"/>
            </w:tcBorders>
            <w:shd w:fill="FFF8EC" w:val="clear"/>
            <w:tcMar>
              <w:top w:type="dxa" w:w="80"/>
              <w:left w:type="dxa" w:w="120"/>
              <w:bottom w:type="dxa" w:w="80"/>
              <w:right w:type="dxa" w:w="120"/>
            </w:tcMar>
          </w:tcPr>
          <w:p>
            <w:r>
              <w:rPr>
                <w:rFonts w:ascii="Calibri" w:cs="Calibri" w:eastAsia="Calibri" w:hAnsi="Calibri"/>
                <w:b/>
                <w:bCs/>
                <w:color w:val="1B2A4A"/>
                <w:sz w:val="20"/>
                <w:szCs w:val="20"/>
              </w:rPr>
              <w:t xml:space="preserve">NOTE: </w:t>
            </w:r>
            <w:r>
              <w:rPr>
                <w:rFonts w:ascii="Calibri" w:cs="Calibri" w:eastAsia="Calibri" w:hAnsi="Calibri"/>
                <w:color w:val="333333"/>
                <w:sz w:val="20"/>
                <w:szCs w:val="20"/>
              </w:rPr>
              <w:t xml:space="preserve">APRs (Air Purifying Respirators) do NOT protect against IDLH concentrations. SCBA is mandatory for concentrations above 100 ppm or unknown atmospheres.</w:t>
            </w:r>
          </w:p>
        </w:tc>
      </w:tr>
    </w:tbl>
    <w:p>
      <w:pPr>
        <w:spacing w:after="80" w:before="80"/>
        <w:jc w:val="left"/>
      </w:pPr>
      <w:r>
        <w:rPr>
          <w:rFonts w:ascii="Calibri" w:cs="Calibri" w:eastAsia="Calibri" w:hAnsi="Calibri"/>
          <w:b w:val="false"/>
          <w:bCs w:val="false"/>
          <w:i w:val="false"/>
          <w:iCs w:val="false"/>
          <w:color w:val="333333"/>
          <w:sz w:val="22"/>
          <w:szCs w:val="22"/>
        </w:rPr>
        <w:t xml:space="preserve">Escape-only SCBA (5–10 minute units) shall be readily available at all H2S work locations.</w:t>
      </w:r>
    </w:p>
    <w:p>
      <w:pPr>
        <w:pStyle w:val="Heading1"/>
      </w:pPr>
      <w:r>
        <w:rPr>
          <w:rFonts w:ascii="Calibri" w:cs="Calibri" w:eastAsia="Calibri" w:hAnsi="Calibri"/>
          <w:b/>
          <w:bCs/>
          <w:color w:val="1B2A4A"/>
          <w:sz w:val="32"/>
          <w:szCs w:val="32"/>
        </w:rPr>
        <w:t xml:space="preserve">12. Rescue Procedures</w:t>
      </w:r>
    </w:p>
    <w:p>
      <w:pPr>
        <w:spacing w:after="80" w:before="80"/>
        <w:jc w:val="left"/>
      </w:pPr>
      <w:r>
        <w:rPr>
          <w:rFonts w:ascii="Calibri" w:cs="Calibri" w:eastAsia="Calibri" w:hAnsi="Calibri"/>
          <w:b w:val="false"/>
          <w:bCs w:val="false"/>
          <w:i w:val="false"/>
          <w:iCs w:val="false"/>
          <w:color w:val="333333"/>
          <w:sz w:val="22"/>
          <w:szCs w:val="22"/>
        </w:rPr>
        <w:t xml:space="preserve">In the event of an H2S exposure emergency:</w:t>
      </w:r>
    </w:p>
    <w:p>
      <w:pPr>
        <w:pStyle w:val="Heading2"/>
      </w:pPr>
      <w:r>
        <w:rPr>
          <w:rFonts w:ascii="Calibri" w:cs="Calibri" w:eastAsia="Calibri" w:hAnsi="Calibri"/>
          <w:b/>
          <w:bCs/>
          <w:color w:val="1B2A4A"/>
          <w:sz w:val="26"/>
          <w:szCs w:val="26"/>
        </w:rPr>
        <w:t xml:space="preserve">12.1 Self-Rescue</w:t>
      </w:r>
    </w:p>
    <w:p>
      <w:pPr>
        <w:pStyle w:val="ListParagraph"/>
        <w:numPr>
          <w:ilvl w:val="0"/>
          <w:numId w:val="2"/>
        </w:numPr>
        <w:spacing w:after="40" w:before="40"/>
      </w:pPr>
      <w:r>
        <w:rPr>
          <w:rFonts w:ascii="Calibri" w:cs="Calibri" w:eastAsia="Calibri" w:hAnsi="Calibri"/>
          <w:color w:val="333333"/>
          <w:sz w:val="22"/>
          <w:szCs w:val="22"/>
        </w:rPr>
        <w:t xml:space="preserve">Hold your breath, don escape SCBA if immediately available</w:t>
      </w:r>
    </w:p>
    <w:p>
      <w:pPr>
        <w:pStyle w:val="ListParagraph"/>
        <w:numPr>
          <w:ilvl w:val="0"/>
          <w:numId w:val="2"/>
        </w:numPr>
        <w:spacing w:after="40" w:before="40"/>
      </w:pPr>
      <w:r>
        <w:rPr>
          <w:rFonts w:ascii="Calibri" w:cs="Calibri" w:eastAsia="Calibri" w:hAnsi="Calibri"/>
          <w:color w:val="333333"/>
          <w:sz w:val="22"/>
          <w:szCs w:val="22"/>
        </w:rPr>
        <w:t xml:space="preserve">Move upwind and crosswind to the designated assembly point</w:t>
      </w:r>
    </w:p>
    <w:p>
      <w:pPr>
        <w:pStyle w:val="ListParagraph"/>
        <w:numPr>
          <w:ilvl w:val="0"/>
          <w:numId w:val="2"/>
        </w:numPr>
        <w:spacing w:after="40" w:before="40"/>
      </w:pPr>
      <w:r>
        <w:rPr>
          <w:rFonts w:ascii="Calibri" w:cs="Calibri" w:eastAsia="Calibri" w:hAnsi="Calibri"/>
          <w:color w:val="333333"/>
          <w:sz w:val="22"/>
          <w:szCs w:val="22"/>
        </w:rPr>
        <w:t xml:space="preserve">Alert others by radio, horn, or alarm</w:t>
      </w:r>
    </w:p>
    <w:p>
      <w:pPr>
        <w:pStyle w:val="ListParagraph"/>
        <w:numPr>
          <w:ilvl w:val="0"/>
          <w:numId w:val="2"/>
        </w:numPr>
        <w:spacing w:after="40" w:before="40"/>
      </w:pPr>
      <w:r>
        <w:rPr>
          <w:rFonts w:ascii="Calibri" w:cs="Calibri" w:eastAsia="Calibri" w:hAnsi="Calibri"/>
          <w:color w:val="333333"/>
          <w:sz w:val="22"/>
          <w:szCs w:val="22"/>
        </w:rPr>
        <w:t xml:space="preserve">Do NOT re-enter the area to assist others unless wearing SCBA</w:t>
      </w:r>
    </w:p>
    <w:p>
      <w:pPr>
        <w:pStyle w:val="Heading2"/>
      </w:pPr>
      <w:r>
        <w:rPr>
          <w:rFonts w:ascii="Calibri" w:cs="Calibri" w:eastAsia="Calibri" w:hAnsi="Calibri"/>
          <w:b/>
          <w:bCs/>
          <w:color w:val="1B2A4A"/>
          <w:sz w:val="26"/>
          <w:szCs w:val="26"/>
        </w:rPr>
        <w:t xml:space="preserve">12.2 Rescue of Others</w:t>
      </w:r>
    </w:p>
    <w:p>
      <w:pPr>
        <w:spacing w:after="80" w:before="80"/>
        <w:jc w:val="left"/>
      </w:pPr>
      <w:r>
        <w:rPr>
          <w:rFonts w:ascii="Calibri" w:cs="Calibri" w:eastAsia="Calibri" w:hAnsi="Calibri"/>
          <w:b/>
          <w:bCs/>
          <w:i w:val="false"/>
          <w:iCs w:val="false"/>
          <w:color w:val="333333"/>
          <w:sz w:val="22"/>
          <w:szCs w:val="22"/>
        </w:rPr>
        <w:t xml:space="preserve">IMPORTANT: Attempting rescue without proper SCBA is the leading cause of multiple H2S fatalities.</w:t>
      </w:r>
    </w:p>
    <w:p>
      <w:pPr>
        <w:pStyle w:val="ListParagraph"/>
        <w:numPr>
          <w:ilvl w:val="0"/>
          <w:numId w:val="2"/>
        </w:numPr>
        <w:spacing w:after="40" w:before="40"/>
      </w:pPr>
      <w:r>
        <w:rPr>
          <w:rFonts w:ascii="Calibri" w:cs="Calibri" w:eastAsia="Calibri" w:hAnsi="Calibri"/>
          <w:color w:val="333333"/>
          <w:sz w:val="22"/>
          <w:szCs w:val="22"/>
        </w:rPr>
        <w:t xml:space="preserve">Do NOT enter an H2S atmosphere without full-face pressure-demand SCBA</w:t>
      </w:r>
    </w:p>
    <w:p>
      <w:pPr>
        <w:pStyle w:val="ListParagraph"/>
        <w:numPr>
          <w:ilvl w:val="0"/>
          <w:numId w:val="2"/>
        </w:numPr>
        <w:spacing w:after="40" w:before="40"/>
      </w:pPr>
      <w:r>
        <w:rPr>
          <w:rFonts w:ascii="Calibri" w:cs="Calibri" w:eastAsia="Calibri" w:hAnsi="Calibri"/>
          <w:color w:val="333333"/>
          <w:sz w:val="22"/>
          <w:szCs w:val="22"/>
        </w:rPr>
        <w:t xml:space="preserve">Contact emergency services (911) immediately</w:t>
      </w:r>
    </w:p>
    <w:p>
      <w:pPr>
        <w:pStyle w:val="ListParagraph"/>
        <w:numPr>
          <w:ilvl w:val="0"/>
          <w:numId w:val="2"/>
        </w:numPr>
        <w:spacing w:after="40" w:before="40"/>
      </w:pPr>
      <w:r>
        <w:rPr>
          <w:rFonts w:ascii="Calibri" w:cs="Calibri" w:eastAsia="Calibri" w:hAnsi="Calibri"/>
          <w:color w:val="333333"/>
          <w:sz w:val="22"/>
          <w:szCs w:val="22"/>
        </w:rPr>
        <w:t xml:space="preserve">Only trained rescue personnel wearing SCBA shall attempt rescue</w:t>
      </w:r>
    </w:p>
    <w:p>
      <w:pPr>
        <w:pStyle w:val="ListParagraph"/>
        <w:numPr>
          <w:ilvl w:val="0"/>
          <w:numId w:val="2"/>
        </w:numPr>
        <w:spacing w:after="40" w:before="40"/>
      </w:pPr>
      <w:r>
        <w:rPr>
          <w:rFonts w:ascii="Calibri" w:cs="Calibri" w:eastAsia="Calibri" w:hAnsi="Calibri"/>
          <w:color w:val="333333"/>
          <w:sz w:val="22"/>
          <w:szCs w:val="22"/>
        </w:rPr>
        <w:t xml:space="preserve">Remove the victim to fresh air upwind of the source</w:t>
      </w:r>
    </w:p>
    <w:p>
      <w:pPr>
        <w:pStyle w:val="ListParagraph"/>
        <w:numPr>
          <w:ilvl w:val="0"/>
          <w:numId w:val="2"/>
        </w:numPr>
        <w:spacing w:after="40" w:before="40"/>
      </w:pPr>
      <w:r>
        <w:rPr>
          <w:rFonts w:ascii="Calibri" w:cs="Calibri" w:eastAsia="Calibri" w:hAnsi="Calibri"/>
          <w:color w:val="333333"/>
          <w:sz w:val="22"/>
          <w:szCs w:val="22"/>
        </w:rPr>
        <w:t xml:space="preserve">Begin CPR if the victim is not breathing (H2S may cause respiratory arrest)</w:t>
      </w:r>
    </w:p>
    <w:p>
      <w:pPr>
        <w:pStyle w:val="ListParagraph"/>
        <w:numPr>
          <w:ilvl w:val="0"/>
          <w:numId w:val="2"/>
        </w:numPr>
        <w:spacing w:after="40" w:before="40"/>
      </w:pPr>
      <w:r>
        <w:rPr>
          <w:rFonts w:ascii="Calibri" w:cs="Calibri" w:eastAsia="Calibri" w:hAnsi="Calibri"/>
          <w:color w:val="333333"/>
          <w:sz w:val="22"/>
          <w:szCs w:val="22"/>
        </w:rPr>
        <w:t xml:space="preserve">Administer supplemental oxygen if trained and equipment is available</w:t>
      </w:r>
    </w:p>
    <w:p>
      <w:pPr>
        <w:pStyle w:val="ListParagraph"/>
        <w:numPr>
          <w:ilvl w:val="0"/>
          <w:numId w:val="2"/>
        </w:numPr>
        <w:spacing w:after="40" w:before="40"/>
      </w:pPr>
      <w:r>
        <w:rPr>
          <w:rFonts w:ascii="Calibri" w:cs="Calibri" w:eastAsia="Calibri" w:hAnsi="Calibri"/>
          <w:color w:val="333333"/>
          <w:sz w:val="22"/>
          <w:szCs w:val="22"/>
        </w:rPr>
        <w:t xml:space="preserve">Stay with the victim until EMS arrives</w:t>
      </w:r>
    </w:p>
    <w:p>
      <w:r>
        <w:br w:type="page"/>
      </w:r>
    </w:p>
    <w:p>
      <w:pPr>
        <w:pStyle w:val="Heading1"/>
      </w:pPr>
      <w:r>
        <w:rPr>
          <w:rFonts w:ascii="Calibri" w:cs="Calibri" w:eastAsia="Calibri" w:hAnsi="Calibri"/>
          <w:b/>
          <w:bCs/>
          <w:color w:val="1B2A4A"/>
          <w:sz w:val="32"/>
          <w:szCs w:val="32"/>
        </w:rPr>
        <w:t xml:space="preserve">13. Medical Surveillance</w:t>
      </w:r>
    </w:p>
    <w:p>
      <w:pPr>
        <w:spacing w:after="80" w:before="80"/>
        <w:jc w:val="left"/>
      </w:pPr>
      <w:r>
        <w:rPr>
          <w:rFonts w:ascii="Calibri" w:cs="Calibri" w:eastAsia="Calibri" w:hAnsi="Calibri"/>
          <w:b w:val="false"/>
          <w:bCs w:val="false"/>
          <w:i w:val="false"/>
          <w:iCs w:val="false"/>
          <w:color w:val="333333"/>
          <w:sz w:val="22"/>
          <w:szCs w:val="22"/>
        </w:rPr>
        <w:t xml:space="preserve">Medical surveillance shall be provided for employees routinely working in H2S environments:</w:t>
      </w:r>
    </w:p>
    <w:p>
      <w:pPr>
        <w:pStyle w:val="ListParagraph"/>
        <w:numPr>
          <w:ilvl w:val="0"/>
          <w:numId w:val="2"/>
        </w:numPr>
        <w:spacing w:after="40" w:before="40"/>
      </w:pPr>
      <w:r>
        <w:rPr>
          <w:rFonts w:ascii="Calibri" w:cs="Calibri" w:eastAsia="Calibri" w:hAnsi="Calibri"/>
          <w:color w:val="333333"/>
          <w:sz w:val="22"/>
          <w:szCs w:val="22"/>
        </w:rPr>
        <w:t xml:space="preserve">Pre-assignment baseline health assessment</w:t>
      </w:r>
    </w:p>
    <w:p>
      <w:pPr>
        <w:pStyle w:val="ListParagraph"/>
        <w:numPr>
          <w:ilvl w:val="0"/>
          <w:numId w:val="2"/>
        </w:numPr>
        <w:spacing w:after="40" w:before="40"/>
      </w:pPr>
      <w:r>
        <w:rPr>
          <w:rFonts w:ascii="Calibri" w:cs="Calibri" w:eastAsia="Calibri" w:hAnsi="Calibri"/>
          <w:color w:val="333333"/>
          <w:sz w:val="22"/>
          <w:szCs w:val="22"/>
        </w:rPr>
        <w:t xml:space="preserve">Annual medical evaluation (focused on respiratory and neurological function)</w:t>
      </w:r>
    </w:p>
    <w:p>
      <w:pPr>
        <w:pStyle w:val="ListParagraph"/>
        <w:numPr>
          <w:ilvl w:val="0"/>
          <w:numId w:val="2"/>
        </w:numPr>
        <w:spacing w:after="40" w:before="40"/>
      </w:pPr>
      <w:r>
        <w:rPr>
          <w:rFonts w:ascii="Calibri" w:cs="Calibri" w:eastAsia="Calibri" w:hAnsi="Calibri"/>
          <w:color w:val="333333"/>
          <w:sz w:val="22"/>
          <w:szCs w:val="22"/>
        </w:rPr>
        <w:t xml:space="preserve">Post-exposure medical evaluation following any exposure above the PEL</w:t>
      </w:r>
    </w:p>
    <w:p>
      <w:pPr>
        <w:pStyle w:val="ListParagraph"/>
        <w:numPr>
          <w:ilvl w:val="0"/>
          <w:numId w:val="2"/>
        </w:numPr>
        <w:spacing w:after="40" w:before="40"/>
      </w:pPr>
      <w:r>
        <w:rPr>
          <w:rFonts w:ascii="Calibri" w:cs="Calibri" w:eastAsia="Calibri" w:hAnsi="Calibri"/>
          <w:color w:val="333333"/>
          <w:sz w:val="22"/>
          <w:szCs w:val="22"/>
        </w:rPr>
        <w:t xml:space="preserve">Pulmonary function tests, chest X-ray, and neurological screening as directed by the physician</w:t>
      </w:r>
    </w:p>
    <w:p>
      <w:pPr>
        <w:pStyle w:val="ListParagraph"/>
        <w:numPr>
          <w:ilvl w:val="0"/>
          <w:numId w:val="2"/>
        </w:numPr>
        <w:spacing w:after="40" w:before="40"/>
      </w:pPr>
      <w:r>
        <w:rPr>
          <w:rFonts w:ascii="Calibri" w:cs="Calibri" w:eastAsia="Calibri" w:hAnsi="Calibri"/>
          <w:color w:val="333333"/>
          <w:sz w:val="22"/>
          <w:szCs w:val="22"/>
        </w:rPr>
        <w:t xml:space="preserve">Medical records retained for duration of employment plus 30 years</w:t>
      </w:r>
    </w:p>
    <w:p>
      <w:pPr>
        <w:pStyle w:val="Heading1"/>
      </w:pPr>
      <w:r>
        <w:rPr>
          <w:rFonts w:ascii="Calibri" w:cs="Calibri" w:eastAsia="Calibri" w:hAnsi="Calibri"/>
          <w:b/>
          <w:bCs/>
          <w:color w:val="1B2A4A"/>
          <w:sz w:val="32"/>
          <w:szCs w:val="32"/>
        </w:rPr>
        <w:t xml:space="preserve">14. Training Requirements</w:t>
      </w:r>
    </w:p>
    <w:p>
      <w:pPr>
        <w:pStyle w:val="Heading2"/>
      </w:pPr>
      <w:r>
        <w:rPr>
          <w:rFonts w:ascii="Calibri" w:cs="Calibri" w:eastAsia="Calibri" w:hAnsi="Calibri"/>
          <w:b/>
          <w:bCs/>
          <w:color w:val="1B2A4A"/>
          <w:sz w:val="26"/>
          <w:szCs w:val="26"/>
        </w:rPr>
        <w:t xml:space="preserve">14.1 Initial Training (ANSI Z390.1 Compliant)</w:t>
      </w:r>
    </w:p>
    <w:p>
      <w:pPr>
        <w:spacing w:after="80" w:before="80"/>
        <w:jc w:val="left"/>
      </w:pPr>
      <w:r>
        <w:rPr>
          <w:rFonts w:ascii="Calibri" w:cs="Calibri" w:eastAsia="Calibri" w:hAnsi="Calibri"/>
          <w:b w:val="false"/>
          <w:bCs w:val="false"/>
          <w:i w:val="false"/>
          <w:iCs w:val="false"/>
          <w:color w:val="333333"/>
          <w:sz w:val="22"/>
          <w:szCs w:val="22"/>
        </w:rPr>
        <w:t xml:space="preserve">All employees who may be exposed to H2S shall complete initial training covering:</w:t>
      </w:r>
    </w:p>
    <w:p>
      <w:pPr>
        <w:pStyle w:val="ListParagraph"/>
        <w:numPr>
          <w:ilvl w:val="0"/>
          <w:numId w:val="2"/>
        </w:numPr>
        <w:spacing w:after="40" w:before="40"/>
      </w:pPr>
      <w:r>
        <w:rPr>
          <w:rFonts w:ascii="Calibri" w:cs="Calibri" w:eastAsia="Calibri" w:hAnsi="Calibri"/>
          <w:color w:val="333333"/>
          <w:sz w:val="22"/>
          <w:szCs w:val="22"/>
        </w:rPr>
        <w:t xml:space="preserve">Properties, sources, and health hazards of H2S</w:t>
      </w:r>
    </w:p>
    <w:p>
      <w:pPr>
        <w:pStyle w:val="ListParagraph"/>
        <w:numPr>
          <w:ilvl w:val="0"/>
          <w:numId w:val="2"/>
        </w:numPr>
        <w:spacing w:after="40" w:before="40"/>
      </w:pPr>
      <w:r>
        <w:rPr>
          <w:rFonts w:ascii="Calibri" w:cs="Calibri" w:eastAsia="Calibri" w:hAnsi="Calibri"/>
          <w:color w:val="333333"/>
          <w:sz w:val="22"/>
          <w:szCs w:val="22"/>
        </w:rPr>
        <w:t xml:space="preserve">Exposure limits and effects at various concentrations</w:t>
      </w:r>
    </w:p>
    <w:p>
      <w:pPr>
        <w:pStyle w:val="ListParagraph"/>
        <w:numPr>
          <w:ilvl w:val="0"/>
          <w:numId w:val="2"/>
        </w:numPr>
        <w:spacing w:after="40" w:before="40"/>
      </w:pPr>
      <w:r>
        <w:rPr>
          <w:rFonts w:ascii="Calibri" w:cs="Calibri" w:eastAsia="Calibri" w:hAnsi="Calibri"/>
          <w:color w:val="333333"/>
          <w:sz w:val="22"/>
          <w:szCs w:val="22"/>
        </w:rPr>
        <w:t xml:space="preserve">Detection and monitoring equipment operation</w:t>
      </w:r>
    </w:p>
    <w:p>
      <w:pPr>
        <w:pStyle w:val="ListParagraph"/>
        <w:numPr>
          <w:ilvl w:val="0"/>
          <w:numId w:val="2"/>
        </w:numPr>
        <w:spacing w:after="40" w:before="40"/>
      </w:pPr>
      <w:r>
        <w:rPr>
          <w:rFonts w:ascii="Calibri" w:cs="Calibri" w:eastAsia="Calibri" w:hAnsi="Calibri"/>
          <w:color w:val="333333"/>
          <w:sz w:val="22"/>
          <w:szCs w:val="22"/>
        </w:rPr>
        <w:t xml:space="preserve">Respiratory protection selection and use</w:t>
      </w:r>
    </w:p>
    <w:p>
      <w:pPr>
        <w:pStyle w:val="ListParagraph"/>
        <w:numPr>
          <w:ilvl w:val="0"/>
          <w:numId w:val="2"/>
        </w:numPr>
        <w:spacing w:after="40" w:before="40"/>
      </w:pPr>
      <w:r>
        <w:rPr>
          <w:rFonts w:ascii="Calibri" w:cs="Calibri" w:eastAsia="Calibri" w:hAnsi="Calibri"/>
          <w:color w:val="333333"/>
          <w:sz w:val="22"/>
          <w:szCs w:val="22"/>
        </w:rPr>
        <w:t xml:space="preserve">Buddy system and wind direction awareness</w:t>
      </w:r>
    </w:p>
    <w:p>
      <w:pPr>
        <w:pStyle w:val="ListParagraph"/>
        <w:numPr>
          <w:ilvl w:val="0"/>
          <w:numId w:val="2"/>
        </w:numPr>
        <w:spacing w:after="40" w:before="40"/>
      </w:pPr>
      <w:r>
        <w:rPr>
          <w:rFonts w:ascii="Calibri" w:cs="Calibri" w:eastAsia="Calibri" w:hAnsi="Calibri"/>
          <w:color w:val="333333"/>
          <w:sz w:val="22"/>
          <w:szCs w:val="22"/>
        </w:rPr>
        <w:t xml:space="preserve">Evacuation routes and alarm procedures</w:t>
      </w:r>
    </w:p>
    <w:p>
      <w:pPr>
        <w:pStyle w:val="ListParagraph"/>
        <w:numPr>
          <w:ilvl w:val="0"/>
          <w:numId w:val="2"/>
        </w:numPr>
        <w:spacing w:after="40" w:before="40"/>
      </w:pPr>
      <w:r>
        <w:rPr>
          <w:rFonts w:ascii="Calibri" w:cs="Calibri" w:eastAsia="Calibri" w:hAnsi="Calibri"/>
          <w:color w:val="333333"/>
          <w:sz w:val="22"/>
          <w:szCs w:val="22"/>
        </w:rPr>
        <w:t xml:space="preserve">Rescue procedures including CPR and first aid</w:t>
      </w:r>
    </w:p>
    <w:p>
      <w:pPr>
        <w:pStyle w:val="ListParagraph"/>
        <w:numPr>
          <w:ilvl w:val="0"/>
          <w:numId w:val="2"/>
        </w:numPr>
        <w:spacing w:after="40" w:before="40"/>
      </w:pPr>
      <w:r>
        <w:rPr>
          <w:rFonts w:ascii="Calibri" w:cs="Calibri" w:eastAsia="Calibri" w:hAnsi="Calibri"/>
          <w:color w:val="333333"/>
          <w:sz w:val="22"/>
          <w:szCs w:val="22"/>
        </w:rPr>
        <w:t xml:space="preserve">Hands-on equipment use (monitor, SCBA donning/doffing)</w:t>
      </w:r>
    </w:p>
    <w:p>
      <w:pPr>
        <w:pStyle w:val="Heading2"/>
      </w:pPr>
      <w:r>
        <w:rPr>
          <w:rFonts w:ascii="Calibri" w:cs="Calibri" w:eastAsia="Calibri" w:hAnsi="Calibri"/>
          <w:b/>
          <w:bCs/>
          <w:color w:val="1B2A4A"/>
          <w:sz w:val="26"/>
          <w:szCs w:val="26"/>
        </w:rPr>
        <w:t xml:space="preserve">14.2 Refresher Training</w:t>
      </w:r>
    </w:p>
    <w:p>
      <w:pPr>
        <w:pStyle w:val="ListParagraph"/>
        <w:numPr>
          <w:ilvl w:val="0"/>
          <w:numId w:val="2"/>
        </w:numPr>
        <w:spacing w:after="40" w:before="40"/>
      </w:pPr>
      <w:r>
        <w:rPr>
          <w:rFonts w:ascii="Calibri" w:cs="Calibri" w:eastAsia="Calibri" w:hAnsi="Calibri"/>
          <w:color w:val="333333"/>
          <w:sz w:val="22"/>
          <w:szCs w:val="22"/>
        </w:rPr>
        <w:t xml:space="preserve">Annual refresher training for all H2S-exposed employees</w:t>
      </w:r>
    </w:p>
    <w:p>
      <w:pPr>
        <w:pStyle w:val="ListParagraph"/>
        <w:numPr>
          <w:ilvl w:val="0"/>
          <w:numId w:val="2"/>
        </w:numPr>
        <w:spacing w:after="40" w:before="40"/>
      </w:pPr>
      <w:r>
        <w:rPr>
          <w:rFonts w:ascii="Calibri" w:cs="Calibri" w:eastAsia="Calibri" w:hAnsi="Calibri"/>
          <w:color w:val="333333"/>
          <w:sz w:val="22"/>
          <w:szCs w:val="22"/>
        </w:rPr>
        <w:t xml:space="preserve">Retraining when job conditions change or new H2S sources are identified</w:t>
      </w:r>
    </w:p>
    <w:p>
      <w:pPr>
        <w:pStyle w:val="ListParagraph"/>
        <w:numPr>
          <w:ilvl w:val="0"/>
          <w:numId w:val="2"/>
        </w:numPr>
        <w:spacing w:after="40" w:before="40"/>
      </w:pPr>
      <w:r>
        <w:rPr>
          <w:rFonts w:ascii="Calibri" w:cs="Calibri" w:eastAsia="Calibri" w:hAnsi="Calibri"/>
          <w:color w:val="333333"/>
          <w:sz w:val="22"/>
          <w:szCs w:val="22"/>
        </w:rPr>
        <w:t xml:space="preserve">Retraining after any H2S exposure incident</w:t>
      </w:r>
    </w:p>
    <w:p>
      <w:pPr>
        <w:pStyle w:val="Heading1"/>
      </w:pPr>
      <w:r>
        <w:rPr>
          <w:rFonts w:ascii="Calibri" w:cs="Calibri" w:eastAsia="Calibri" w:hAnsi="Calibri"/>
          <w:b/>
          <w:bCs/>
          <w:color w:val="1B2A4A"/>
          <w:sz w:val="32"/>
          <w:szCs w:val="32"/>
        </w:rPr>
        <w:t xml:space="preserve">15. Recordkeeping</w:t>
      </w:r>
    </w:p>
    <w:p>
      <w:pPr>
        <w:pStyle w:val="ListParagraph"/>
        <w:numPr>
          <w:ilvl w:val="0"/>
          <w:numId w:val="2"/>
        </w:numPr>
        <w:spacing w:after="40" w:before="40"/>
      </w:pPr>
      <w:r>
        <w:rPr>
          <w:rFonts w:ascii="Calibri" w:cs="Calibri" w:eastAsia="Calibri" w:hAnsi="Calibri"/>
          <w:color w:val="333333"/>
          <w:sz w:val="22"/>
          <w:szCs w:val="22"/>
        </w:rPr>
        <w:t xml:space="preserve">Atmospheric monitoring records — retained for 30 years</w:t>
      </w:r>
    </w:p>
    <w:p>
      <w:pPr>
        <w:pStyle w:val="ListParagraph"/>
        <w:numPr>
          <w:ilvl w:val="0"/>
          <w:numId w:val="2"/>
        </w:numPr>
        <w:spacing w:after="40" w:before="40"/>
      </w:pPr>
      <w:r>
        <w:rPr>
          <w:rFonts w:ascii="Calibri" w:cs="Calibri" w:eastAsia="Calibri" w:hAnsi="Calibri"/>
          <w:color w:val="333333"/>
          <w:sz w:val="22"/>
          <w:szCs w:val="22"/>
        </w:rPr>
        <w:t xml:space="preserve">Personal exposure monitoring results — retained for 30 years</w:t>
      </w:r>
    </w:p>
    <w:p>
      <w:pPr>
        <w:pStyle w:val="ListParagraph"/>
        <w:numPr>
          <w:ilvl w:val="0"/>
          <w:numId w:val="2"/>
        </w:numPr>
        <w:spacing w:after="40" w:before="40"/>
      </w:pPr>
      <w:r>
        <w:rPr>
          <w:rFonts w:ascii="Calibri" w:cs="Calibri" w:eastAsia="Calibri" w:hAnsi="Calibri"/>
          <w:color w:val="333333"/>
          <w:sz w:val="22"/>
          <w:szCs w:val="22"/>
        </w:rPr>
        <w:t xml:space="preserve">Medical surveillance records — retained for duration of employment plus 30 years</w:t>
      </w:r>
    </w:p>
    <w:p>
      <w:pPr>
        <w:pStyle w:val="ListParagraph"/>
        <w:numPr>
          <w:ilvl w:val="0"/>
          <w:numId w:val="2"/>
        </w:numPr>
        <w:spacing w:after="40" w:before="40"/>
      </w:pPr>
      <w:r>
        <w:rPr>
          <w:rFonts w:ascii="Calibri" w:cs="Calibri" w:eastAsia="Calibri" w:hAnsi="Calibri"/>
          <w:color w:val="333333"/>
          <w:sz w:val="22"/>
          <w:szCs w:val="22"/>
        </w:rPr>
        <w:t xml:space="preserve">Training records — retained for duration of employment plus 3 years</w:t>
      </w:r>
    </w:p>
    <w:p>
      <w:pPr>
        <w:pStyle w:val="ListParagraph"/>
        <w:numPr>
          <w:ilvl w:val="0"/>
          <w:numId w:val="2"/>
        </w:numPr>
        <w:spacing w:after="40" w:before="40"/>
      </w:pPr>
      <w:r>
        <w:rPr>
          <w:rFonts w:ascii="Calibri" w:cs="Calibri" w:eastAsia="Calibri" w:hAnsi="Calibri"/>
          <w:color w:val="333333"/>
          <w:sz w:val="22"/>
          <w:szCs w:val="22"/>
        </w:rPr>
        <w:t xml:space="preserve">Equipment calibration and maintenance records — retained for 3 years</w:t>
      </w:r>
    </w:p>
    <w:p>
      <w:pPr>
        <w:pStyle w:val="ListParagraph"/>
        <w:numPr>
          <w:ilvl w:val="0"/>
          <w:numId w:val="2"/>
        </w:numPr>
        <w:spacing w:after="40" w:before="40"/>
      </w:pPr>
      <w:r>
        <w:rPr>
          <w:rFonts w:ascii="Calibri" w:cs="Calibri" w:eastAsia="Calibri" w:hAnsi="Calibri"/>
          <w:color w:val="333333"/>
          <w:sz w:val="22"/>
          <w:szCs w:val="22"/>
        </w:rPr>
        <w:t xml:space="preserve">Incident and near-miss reports — retained for 5 years</w:t>
      </w:r>
    </w:p>
    <w:p>
      <w:pPr>
        <w:pStyle w:val="Heading1"/>
      </w:pPr>
      <w:r>
        <w:rPr>
          <w:rFonts w:ascii="Calibri" w:cs="Calibri" w:eastAsia="Calibri" w:hAnsi="Calibri"/>
          <w:b/>
          <w:bCs/>
          <w:color w:val="1B2A4A"/>
          <w:sz w:val="32"/>
          <w:szCs w:val="32"/>
        </w:rPr>
        <w:t xml:space="preserve">16. Program Review</w:t>
      </w:r>
    </w:p>
    <w:p>
      <w:pPr>
        <w:spacing w:after="80" w:before="80"/>
        <w:jc w:val="left"/>
      </w:pPr>
      <w:r>
        <w:rPr>
          <w:rFonts w:ascii="Calibri" w:cs="Calibri" w:eastAsia="Calibri" w:hAnsi="Calibri"/>
          <w:b w:val="false"/>
          <w:bCs w:val="false"/>
          <w:i w:val="false"/>
          <w:iCs w:val="false"/>
          <w:color w:val="333333"/>
          <w:sz w:val="22"/>
          <w:szCs w:val="22"/>
        </w:rPr>
        <w:t xml:space="preserve">This program shall be reviewed annually or after any H2S exposure incident, near-miss, or change in operations that may affect H2S exposure risk.</w:t>
      </w:r>
    </w:p>
    <w:p>
      <w:r>
        <w:br w:type="page"/>
      </w:r>
    </w:p>
    <w:p>
      <w:pPr>
        <w:pStyle w:val="Heading1"/>
      </w:pPr>
      <w:r>
        <w:rPr>
          <w:rFonts w:ascii="Calibri" w:cs="Calibri" w:eastAsia="Calibri" w:hAnsi="Calibri"/>
          <w:b/>
          <w:bCs/>
          <w:color w:val="1B2A4A"/>
          <w:sz w:val="32"/>
          <w:szCs w:val="32"/>
        </w:rPr>
        <w:t xml:space="preserve">Appendix A: H2S Monitoring Log</w:t>
      </w:r>
    </w:p>
    <w:p>
      <w:pPr>
        <w:spacing w:after="80" w:before="80"/>
        <w:jc w:val="left"/>
      </w:pPr>
      <w:r>
        <w:rPr>
          <w:rFonts w:ascii="Calibri" w:cs="Calibri" w:eastAsia="Calibri" w:hAnsi="Calibri"/>
          <w:b w:val="false"/>
          <w:bCs w:val="false"/>
          <w:i/>
          <w:iCs/>
          <w:color w:val="333333"/>
          <w:sz w:val="22"/>
          <w:szCs w:val="22"/>
        </w:rPr>
        <w:t xml:space="preserve">Use this log to document atmospheric monitoring results at H2S work locations.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E8A838" w:val="clear"/>
            <w:tcMar>
              <w:top w:type="dxa" w:w="0"/>
              <w:left w:type="dxa" w:w="0"/>
              <w:bottom w:type="dxa" w:w="0"/>
              <w:right w:type="dxa" w:w="0"/>
            </w:tcMar>
          </w:tcPr>
          <w:p>
            <w:pPr>
              <w:spacing w:after="0" w:before="0"/>
            </w:pPr>
            <w:r>
              <w:rPr>
                <w:sz w:val="4"/>
                <w:szCs w:val="4"/>
              </w:rPr>
              <w:t xml:space="preserve"> </w:t>
            </w:r>
          </w:p>
        </w:tc>
      </w:tr>
    </w:tbl>
    <w:p>
      <w:pPr>
        <w:spacing w:after="80" w:before="80"/>
        <w:jc w:val="left"/>
      </w:pPr>
      <w:r>
        <w:rPr>
          <w:rFonts w:ascii="Calibri" w:cs="Calibri" w:eastAsia="Calibri" w:hAnsi="Calibri"/>
          <w:b w:val="false"/>
          <w:bCs w:val="false"/>
          <w:i w:val="false"/>
          <w:iCs w:val="false"/>
          <w:color w:val="333333"/>
          <w:sz w:val="22"/>
          <w:szCs w:val="22"/>
        </w:rPr>
        <w:t xml:space="preserve"/>
      </w:r>
    </w:p>
    <w:p>
      <w:pPr>
        <w:spacing w:after="80" w:before="80"/>
        <w:jc w:val="left"/>
      </w:pPr>
      <w:r>
        <w:rPr>
          <w:rFonts w:ascii="Calibri" w:cs="Calibri" w:eastAsia="Calibri" w:hAnsi="Calibri"/>
          <w:b w:val="false"/>
          <w:bCs w:val="false"/>
          <w:i w:val="false"/>
          <w:iCs w:val="false"/>
          <w:color w:val="333333"/>
          <w:sz w:val="22"/>
          <w:szCs w:val="22"/>
        </w:rPr>
        <w:t xml:space="preserve">Site / Location: ______________________________     Date: ____________</w:t>
      </w:r>
    </w:p>
    <w:p>
      <w:pPr>
        <w:spacing w:after="80" w:before="80"/>
        <w:jc w:val="left"/>
      </w:pPr>
      <w:r>
        <w:rPr>
          <w:rFonts w:ascii="Calibri" w:cs="Calibri" w:eastAsia="Calibri" w:hAnsi="Calibri"/>
          <w:b w:val="false"/>
          <w:bCs w:val="false"/>
          <w:i w:val="false"/>
          <w:iCs w:val="false"/>
          <w:color w:val="333333"/>
          <w:sz w:val="22"/>
          <w:szCs w:val="22"/>
        </w:rPr>
        <w:t xml:space="preserve">Instrument Type: ______________________________     Serial #: ____________</w:t>
      </w:r>
    </w:p>
    <w:p>
      <w:pPr>
        <w:spacing w:after="80" w:before="80"/>
        <w:jc w:val="left"/>
      </w:pPr>
      <w:r>
        <w:rPr>
          <w:rFonts w:ascii="Calibri" w:cs="Calibri" w:eastAsia="Calibri" w:hAnsi="Calibri"/>
          <w:b w:val="false"/>
          <w:bCs w:val="false"/>
          <w:i w:val="false"/>
          <w:iCs w:val="false"/>
          <w:color w:val="333333"/>
          <w:sz w:val="22"/>
          <w:szCs w:val="22"/>
        </w:rPr>
        <w:t xml:space="preserve">Last Calibration Date: ____________     Bump Test: ☐ Pass  ☐ Fail</w:t>
      </w:r>
    </w:p>
    <w:p>
      <w:pPr>
        <w:spacing w:after="80" w:before="80"/>
        <w:jc w:val="left"/>
      </w:pPr>
      <w:r>
        <w:rPr>
          <w:rFonts w:ascii="Calibri" w:cs="Calibri" w:eastAsia="Calibri" w:hAnsi="Calibri"/>
          <w:b w:val="false"/>
          <w:bCs w:val="false"/>
          <w:i w:val="false"/>
          <w:iCs w:val="false"/>
          <w:color w:val="333333"/>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000"/>
        <w:gridCol w:w="2400"/>
        <w:gridCol w:w="1200"/>
        <w:gridCol w:w="1200"/>
        <w:gridCol w:w="2400"/>
        <w:gridCol w:w="1160"/>
      </w:tblGrid>
      <w:tr>
        <w:tc>
          <w:tcPr>
            <w:tcW w:type="dxa" w:w="1000"/>
            <w:tcBorders>
              <w:top w:val="single" w:color="B0B0B0" w:sz="1"/>
              <w:left w:val="single" w:color="B0B0B0" w:sz="1"/>
              <w:bottom w:val="single" w:color="B0B0B0" w:sz="1"/>
              <w:right w:val="single" w:color="B0B0B0" w:sz="1"/>
            </w:tcBorders>
            <w:shd w:fill="1B2A4A" w:val="clear"/>
            <w:tcMar>
              <w:top w:type="dxa" w:w="60"/>
              <w:left w:type="dxa" w:w="80"/>
              <w:bottom w:type="dxa" w:w="60"/>
              <w:right w:type="dxa" w:w="80"/>
            </w:tcMar>
            <w:vAlign w:val="center"/>
          </w:tcPr>
          <w:p>
            <w:pPr>
              <w:jc w:val="center"/>
            </w:pPr>
            <w:r>
              <w:rPr>
                <w:rFonts w:ascii="Calibri" w:cs="Calibri" w:eastAsia="Calibri" w:hAnsi="Calibri"/>
                <w:b/>
                <w:bCs/>
                <w:color w:val="FFFFFF"/>
                <w:sz w:val="20"/>
                <w:szCs w:val="20"/>
              </w:rPr>
              <w:t xml:space="preserve">Time</w:t>
            </w:r>
          </w:p>
        </w:tc>
        <w:tc>
          <w:tcPr>
            <w:tcW w:type="dxa" w:w="2400"/>
            <w:tcBorders>
              <w:top w:val="single" w:color="B0B0B0" w:sz="1"/>
              <w:left w:val="single" w:color="B0B0B0" w:sz="1"/>
              <w:bottom w:val="single" w:color="B0B0B0" w:sz="1"/>
              <w:right w:val="single" w:color="B0B0B0" w:sz="1"/>
            </w:tcBorders>
            <w:shd w:fill="1B2A4A" w:val="clear"/>
            <w:tcMar>
              <w:top w:type="dxa" w:w="60"/>
              <w:left w:type="dxa" w:w="80"/>
              <w:bottom w:type="dxa" w:w="60"/>
              <w:right w:type="dxa" w:w="80"/>
            </w:tcMar>
            <w:vAlign w:val="center"/>
          </w:tcPr>
          <w:p>
            <w:pPr>
              <w:jc w:val="center"/>
            </w:pPr>
            <w:r>
              <w:rPr>
                <w:rFonts w:ascii="Calibri" w:cs="Calibri" w:eastAsia="Calibri" w:hAnsi="Calibri"/>
                <w:b/>
                <w:bCs/>
                <w:color w:val="FFFFFF"/>
                <w:sz w:val="20"/>
                <w:szCs w:val="20"/>
              </w:rPr>
              <w:t xml:space="preserve">Location / Area</w:t>
            </w:r>
          </w:p>
        </w:tc>
        <w:tc>
          <w:tcPr>
            <w:tcW w:type="dxa" w:w="1200"/>
            <w:tcBorders>
              <w:top w:val="single" w:color="B0B0B0" w:sz="1"/>
              <w:left w:val="single" w:color="B0B0B0" w:sz="1"/>
              <w:bottom w:val="single" w:color="B0B0B0" w:sz="1"/>
              <w:right w:val="single" w:color="B0B0B0" w:sz="1"/>
            </w:tcBorders>
            <w:shd w:fill="1B2A4A" w:val="clear"/>
            <w:tcMar>
              <w:top w:type="dxa" w:w="60"/>
              <w:left w:type="dxa" w:w="80"/>
              <w:bottom w:type="dxa" w:w="60"/>
              <w:right w:type="dxa" w:w="80"/>
            </w:tcMar>
            <w:vAlign w:val="center"/>
          </w:tcPr>
          <w:p>
            <w:pPr>
              <w:jc w:val="center"/>
            </w:pPr>
            <w:r>
              <w:rPr>
                <w:rFonts w:ascii="Calibri" w:cs="Calibri" w:eastAsia="Calibri" w:hAnsi="Calibri"/>
                <w:b/>
                <w:bCs/>
                <w:color w:val="FFFFFF"/>
                <w:sz w:val="20"/>
                <w:szCs w:val="20"/>
              </w:rPr>
              <w:t xml:space="preserve">H2S (ppm)</w:t>
            </w:r>
          </w:p>
        </w:tc>
        <w:tc>
          <w:tcPr>
            <w:tcW w:type="dxa" w:w="1200"/>
            <w:tcBorders>
              <w:top w:val="single" w:color="B0B0B0" w:sz="1"/>
              <w:left w:val="single" w:color="B0B0B0" w:sz="1"/>
              <w:bottom w:val="single" w:color="B0B0B0" w:sz="1"/>
              <w:right w:val="single" w:color="B0B0B0" w:sz="1"/>
            </w:tcBorders>
            <w:shd w:fill="1B2A4A" w:val="clear"/>
            <w:tcMar>
              <w:top w:type="dxa" w:w="60"/>
              <w:left w:type="dxa" w:w="80"/>
              <w:bottom w:type="dxa" w:w="60"/>
              <w:right w:type="dxa" w:w="80"/>
            </w:tcMar>
            <w:vAlign w:val="center"/>
          </w:tcPr>
          <w:p>
            <w:pPr>
              <w:jc w:val="center"/>
            </w:pPr>
            <w:r>
              <w:rPr>
                <w:rFonts w:ascii="Calibri" w:cs="Calibri" w:eastAsia="Calibri" w:hAnsi="Calibri"/>
                <w:b/>
                <w:bCs/>
                <w:color w:val="FFFFFF"/>
                <w:sz w:val="20"/>
                <w:szCs w:val="20"/>
              </w:rPr>
              <w:t xml:space="preserve">Wind Dir.</w:t>
            </w:r>
          </w:p>
        </w:tc>
        <w:tc>
          <w:tcPr>
            <w:tcW w:type="dxa" w:w="2400"/>
            <w:tcBorders>
              <w:top w:val="single" w:color="B0B0B0" w:sz="1"/>
              <w:left w:val="single" w:color="B0B0B0" w:sz="1"/>
              <w:bottom w:val="single" w:color="B0B0B0" w:sz="1"/>
              <w:right w:val="single" w:color="B0B0B0" w:sz="1"/>
            </w:tcBorders>
            <w:shd w:fill="1B2A4A" w:val="clear"/>
            <w:tcMar>
              <w:top w:type="dxa" w:w="60"/>
              <w:left w:type="dxa" w:w="80"/>
              <w:bottom w:type="dxa" w:w="60"/>
              <w:right w:type="dxa" w:w="80"/>
            </w:tcMar>
            <w:vAlign w:val="center"/>
          </w:tcPr>
          <w:p>
            <w:pPr>
              <w:jc w:val="center"/>
            </w:pPr>
            <w:r>
              <w:rPr>
                <w:rFonts w:ascii="Calibri" w:cs="Calibri" w:eastAsia="Calibri" w:hAnsi="Calibri"/>
                <w:b/>
                <w:bCs/>
                <w:color w:val="FFFFFF"/>
                <w:sz w:val="20"/>
                <w:szCs w:val="20"/>
              </w:rPr>
              <w:t xml:space="preserve">Action Taken</w:t>
            </w:r>
          </w:p>
        </w:tc>
        <w:tc>
          <w:tcPr>
            <w:tcW w:type="dxa" w:w="1160"/>
            <w:tcBorders>
              <w:top w:val="single" w:color="B0B0B0" w:sz="1"/>
              <w:left w:val="single" w:color="B0B0B0" w:sz="1"/>
              <w:bottom w:val="single" w:color="B0B0B0" w:sz="1"/>
              <w:right w:val="single" w:color="B0B0B0" w:sz="1"/>
            </w:tcBorders>
            <w:shd w:fill="1B2A4A" w:val="clear"/>
            <w:tcMar>
              <w:top w:type="dxa" w:w="60"/>
              <w:left w:type="dxa" w:w="80"/>
              <w:bottom w:type="dxa" w:w="60"/>
              <w:right w:type="dxa" w:w="80"/>
            </w:tcMar>
            <w:vAlign w:val="center"/>
          </w:tcPr>
          <w:p>
            <w:pPr>
              <w:jc w:val="center"/>
            </w:pPr>
            <w:r>
              <w:rPr>
                <w:rFonts w:ascii="Calibri" w:cs="Calibri" w:eastAsia="Calibri" w:hAnsi="Calibri"/>
                <w:b/>
                <w:bCs/>
                <w:color w:val="FFFFFF"/>
                <w:sz w:val="20"/>
                <w:szCs w:val="20"/>
              </w:rPr>
              <w:t xml:space="preserve">Initials</w:t>
            </w:r>
          </w:p>
        </w:tc>
      </w:tr>
      <w:tr>
        <w:tc>
          <w:tcPr>
            <w:tcW w:type="dxa" w:w="100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
            </w:r>
          </w:p>
        </w:tc>
        <w:tc>
          <w:tcPr>
            <w:tcW w:type="dxa" w:w="240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
            </w:r>
          </w:p>
        </w:tc>
        <w:tc>
          <w:tcPr>
            <w:tcW w:type="dxa" w:w="120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
            </w:r>
          </w:p>
        </w:tc>
        <w:tc>
          <w:tcPr>
            <w:tcW w:type="dxa" w:w="120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
            </w:r>
          </w:p>
        </w:tc>
        <w:tc>
          <w:tcPr>
            <w:tcW w:type="dxa" w:w="240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
            </w:r>
          </w:p>
        </w:tc>
        <w:tc>
          <w:tcPr>
            <w:tcW w:type="dxa" w:w="116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
            </w:r>
          </w:p>
        </w:tc>
      </w:tr>
      <w:tr>
        <w:tc>
          <w:tcPr>
            <w:tcW w:type="dxa" w:w="100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
            </w:r>
          </w:p>
        </w:tc>
        <w:tc>
          <w:tcPr>
            <w:tcW w:type="dxa" w:w="240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
            </w:r>
          </w:p>
        </w:tc>
        <w:tc>
          <w:tcPr>
            <w:tcW w:type="dxa" w:w="120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
            </w:r>
          </w:p>
        </w:tc>
        <w:tc>
          <w:tcPr>
            <w:tcW w:type="dxa" w:w="120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
            </w:r>
          </w:p>
        </w:tc>
        <w:tc>
          <w:tcPr>
            <w:tcW w:type="dxa" w:w="240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
            </w:r>
          </w:p>
        </w:tc>
        <w:tc>
          <w:tcPr>
            <w:tcW w:type="dxa" w:w="116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
            </w:r>
          </w:p>
        </w:tc>
      </w:tr>
      <w:tr>
        <w:tc>
          <w:tcPr>
            <w:tcW w:type="dxa" w:w="100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
            </w:r>
          </w:p>
        </w:tc>
        <w:tc>
          <w:tcPr>
            <w:tcW w:type="dxa" w:w="240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
            </w:r>
          </w:p>
        </w:tc>
        <w:tc>
          <w:tcPr>
            <w:tcW w:type="dxa" w:w="120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
            </w:r>
          </w:p>
        </w:tc>
        <w:tc>
          <w:tcPr>
            <w:tcW w:type="dxa" w:w="120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
            </w:r>
          </w:p>
        </w:tc>
        <w:tc>
          <w:tcPr>
            <w:tcW w:type="dxa" w:w="240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
            </w:r>
          </w:p>
        </w:tc>
        <w:tc>
          <w:tcPr>
            <w:tcW w:type="dxa" w:w="116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
            </w:r>
          </w:p>
        </w:tc>
      </w:tr>
      <w:tr>
        <w:tc>
          <w:tcPr>
            <w:tcW w:type="dxa" w:w="100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
            </w:r>
          </w:p>
        </w:tc>
        <w:tc>
          <w:tcPr>
            <w:tcW w:type="dxa" w:w="240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
            </w:r>
          </w:p>
        </w:tc>
        <w:tc>
          <w:tcPr>
            <w:tcW w:type="dxa" w:w="120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
            </w:r>
          </w:p>
        </w:tc>
        <w:tc>
          <w:tcPr>
            <w:tcW w:type="dxa" w:w="120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
            </w:r>
          </w:p>
        </w:tc>
        <w:tc>
          <w:tcPr>
            <w:tcW w:type="dxa" w:w="240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
            </w:r>
          </w:p>
        </w:tc>
        <w:tc>
          <w:tcPr>
            <w:tcW w:type="dxa" w:w="116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
            </w:r>
          </w:p>
        </w:tc>
      </w:tr>
      <w:tr>
        <w:tc>
          <w:tcPr>
            <w:tcW w:type="dxa" w:w="100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
            </w:r>
          </w:p>
        </w:tc>
        <w:tc>
          <w:tcPr>
            <w:tcW w:type="dxa" w:w="240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
            </w:r>
          </w:p>
        </w:tc>
        <w:tc>
          <w:tcPr>
            <w:tcW w:type="dxa" w:w="120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
            </w:r>
          </w:p>
        </w:tc>
        <w:tc>
          <w:tcPr>
            <w:tcW w:type="dxa" w:w="120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
            </w:r>
          </w:p>
        </w:tc>
        <w:tc>
          <w:tcPr>
            <w:tcW w:type="dxa" w:w="240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
            </w:r>
          </w:p>
        </w:tc>
        <w:tc>
          <w:tcPr>
            <w:tcW w:type="dxa" w:w="116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
            </w:r>
          </w:p>
        </w:tc>
      </w:tr>
      <w:tr>
        <w:tc>
          <w:tcPr>
            <w:tcW w:type="dxa" w:w="100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
            </w:r>
          </w:p>
        </w:tc>
        <w:tc>
          <w:tcPr>
            <w:tcW w:type="dxa" w:w="240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
            </w:r>
          </w:p>
        </w:tc>
        <w:tc>
          <w:tcPr>
            <w:tcW w:type="dxa" w:w="120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
            </w:r>
          </w:p>
        </w:tc>
        <w:tc>
          <w:tcPr>
            <w:tcW w:type="dxa" w:w="120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
            </w:r>
          </w:p>
        </w:tc>
        <w:tc>
          <w:tcPr>
            <w:tcW w:type="dxa" w:w="240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
            </w:r>
          </w:p>
        </w:tc>
        <w:tc>
          <w:tcPr>
            <w:tcW w:type="dxa" w:w="116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
            </w:r>
          </w:p>
        </w:tc>
      </w:tr>
      <w:tr>
        <w:tc>
          <w:tcPr>
            <w:tcW w:type="dxa" w:w="100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
            </w:r>
          </w:p>
        </w:tc>
        <w:tc>
          <w:tcPr>
            <w:tcW w:type="dxa" w:w="240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
            </w:r>
          </w:p>
        </w:tc>
        <w:tc>
          <w:tcPr>
            <w:tcW w:type="dxa" w:w="120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
            </w:r>
          </w:p>
        </w:tc>
        <w:tc>
          <w:tcPr>
            <w:tcW w:type="dxa" w:w="120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
            </w:r>
          </w:p>
        </w:tc>
        <w:tc>
          <w:tcPr>
            <w:tcW w:type="dxa" w:w="240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
            </w:r>
          </w:p>
        </w:tc>
        <w:tc>
          <w:tcPr>
            <w:tcW w:type="dxa" w:w="116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
            </w:r>
          </w:p>
        </w:tc>
      </w:tr>
      <w:tr>
        <w:tc>
          <w:tcPr>
            <w:tcW w:type="dxa" w:w="100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
            </w:r>
          </w:p>
        </w:tc>
        <w:tc>
          <w:tcPr>
            <w:tcW w:type="dxa" w:w="240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
            </w:r>
          </w:p>
        </w:tc>
        <w:tc>
          <w:tcPr>
            <w:tcW w:type="dxa" w:w="120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
            </w:r>
          </w:p>
        </w:tc>
        <w:tc>
          <w:tcPr>
            <w:tcW w:type="dxa" w:w="120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
            </w:r>
          </w:p>
        </w:tc>
        <w:tc>
          <w:tcPr>
            <w:tcW w:type="dxa" w:w="240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
            </w:r>
          </w:p>
        </w:tc>
        <w:tc>
          <w:tcPr>
            <w:tcW w:type="dxa" w:w="116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
            </w:r>
          </w:p>
        </w:tc>
      </w:tr>
      <w:tr>
        <w:tc>
          <w:tcPr>
            <w:tcW w:type="dxa" w:w="100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
            </w:r>
          </w:p>
        </w:tc>
        <w:tc>
          <w:tcPr>
            <w:tcW w:type="dxa" w:w="240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
            </w:r>
          </w:p>
        </w:tc>
        <w:tc>
          <w:tcPr>
            <w:tcW w:type="dxa" w:w="120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
            </w:r>
          </w:p>
        </w:tc>
        <w:tc>
          <w:tcPr>
            <w:tcW w:type="dxa" w:w="120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
            </w:r>
          </w:p>
        </w:tc>
        <w:tc>
          <w:tcPr>
            <w:tcW w:type="dxa" w:w="240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
            </w:r>
          </w:p>
        </w:tc>
        <w:tc>
          <w:tcPr>
            <w:tcW w:type="dxa" w:w="116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
            </w:r>
          </w:p>
        </w:tc>
      </w:tr>
      <w:tr>
        <w:tc>
          <w:tcPr>
            <w:tcW w:type="dxa" w:w="100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
            </w:r>
          </w:p>
        </w:tc>
        <w:tc>
          <w:tcPr>
            <w:tcW w:type="dxa" w:w="240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
            </w:r>
          </w:p>
        </w:tc>
        <w:tc>
          <w:tcPr>
            <w:tcW w:type="dxa" w:w="120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
            </w:r>
          </w:p>
        </w:tc>
        <w:tc>
          <w:tcPr>
            <w:tcW w:type="dxa" w:w="120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
            </w:r>
          </w:p>
        </w:tc>
        <w:tc>
          <w:tcPr>
            <w:tcW w:type="dxa" w:w="240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
            </w:r>
          </w:p>
        </w:tc>
        <w:tc>
          <w:tcPr>
            <w:tcW w:type="dxa" w:w="116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
            </w:r>
          </w:p>
        </w:tc>
      </w:tr>
      <w:tr>
        <w:tc>
          <w:tcPr>
            <w:tcW w:type="dxa" w:w="100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
            </w:r>
          </w:p>
        </w:tc>
        <w:tc>
          <w:tcPr>
            <w:tcW w:type="dxa" w:w="240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
            </w:r>
          </w:p>
        </w:tc>
        <w:tc>
          <w:tcPr>
            <w:tcW w:type="dxa" w:w="120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
            </w:r>
          </w:p>
        </w:tc>
        <w:tc>
          <w:tcPr>
            <w:tcW w:type="dxa" w:w="120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
            </w:r>
          </w:p>
        </w:tc>
        <w:tc>
          <w:tcPr>
            <w:tcW w:type="dxa" w:w="240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
            </w:r>
          </w:p>
        </w:tc>
        <w:tc>
          <w:tcPr>
            <w:tcW w:type="dxa" w:w="116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
            </w:r>
          </w:p>
        </w:tc>
      </w:tr>
      <w:tr>
        <w:tc>
          <w:tcPr>
            <w:tcW w:type="dxa" w:w="100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
            </w:r>
          </w:p>
        </w:tc>
        <w:tc>
          <w:tcPr>
            <w:tcW w:type="dxa" w:w="240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
            </w:r>
          </w:p>
        </w:tc>
        <w:tc>
          <w:tcPr>
            <w:tcW w:type="dxa" w:w="120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
            </w:r>
          </w:p>
        </w:tc>
        <w:tc>
          <w:tcPr>
            <w:tcW w:type="dxa" w:w="120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
            </w:r>
          </w:p>
        </w:tc>
        <w:tc>
          <w:tcPr>
            <w:tcW w:type="dxa" w:w="240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
            </w:r>
          </w:p>
        </w:tc>
        <w:tc>
          <w:tcPr>
            <w:tcW w:type="dxa" w:w="116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
            </w:r>
          </w:p>
        </w:tc>
      </w:tr>
    </w:tbl>
    <w:p>
      <w:pPr>
        <w:spacing w:after="80" w:before="80"/>
        <w:jc w:val="left"/>
      </w:pPr>
      <w:r>
        <w:rPr>
          <w:rFonts w:ascii="Calibri" w:cs="Calibri" w:eastAsia="Calibri" w:hAnsi="Calibri"/>
          <w:b w:val="false"/>
          <w:bCs w:val="false"/>
          <w:i w:val="false"/>
          <w:iCs w:val="false"/>
          <w:color w:val="333333"/>
          <w:sz w:val="22"/>
          <w:szCs w:val="22"/>
        </w:rPr>
        <w:t xml:space="preserve"/>
      </w:r>
    </w:p>
    <w:p>
      <w:pPr>
        <w:spacing w:after="80" w:before="80"/>
        <w:jc w:val="left"/>
      </w:pPr>
      <w:r>
        <w:rPr>
          <w:rFonts w:ascii="Calibri" w:cs="Calibri" w:eastAsia="Calibri" w:hAnsi="Calibri"/>
          <w:b w:val="false"/>
          <w:bCs w:val="false"/>
          <w:i w:val="false"/>
          <w:iCs w:val="false"/>
          <w:color w:val="333333"/>
          <w:sz w:val="22"/>
          <w:szCs w:val="22"/>
        </w:rPr>
        <w:t xml:space="preserve">Monitor: ______________________________     Reviewed By: ______________________________</w:t>
      </w:r>
    </w:p>
    <w:p>
      <w:r>
        <w:br w:type="page"/>
      </w:r>
    </w:p>
    <w:p>
      <w:pPr>
        <w:pStyle w:val="Heading1"/>
      </w:pPr>
      <w:r>
        <w:rPr>
          <w:rFonts w:ascii="Calibri" w:cs="Calibri" w:eastAsia="Calibri" w:hAnsi="Calibri"/>
          <w:b/>
          <w:bCs/>
          <w:color w:val="1B2A4A"/>
          <w:sz w:val="32"/>
          <w:szCs w:val="32"/>
        </w:rPr>
        <w:t xml:space="preserve">Appendix B: H2S Emergency Action Checklist</w:t>
      </w:r>
    </w:p>
    <w:p>
      <w:pPr>
        <w:spacing w:after="80" w:before="80"/>
        <w:jc w:val="left"/>
      </w:pPr>
      <w:r>
        <w:rPr>
          <w:rFonts w:ascii="Calibri" w:cs="Calibri" w:eastAsia="Calibri" w:hAnsi="Calibri"/>
          <w:b w:val="false"/>
          <w:bCs w:val="false"/>
          <w:i/>
          <w:iCs/>
          <w:color w:val="333333"/>
          <w:sz w:val="22"/>
          <w:szCs w:val="22"/>
        </w:rPr>
        <w:t xml:space="preserve">Post at all H2S work locations. Review with all personnel before work begins.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E8A838" w:val="clear"/>
            <w:tcMar>
              <w:top w:type="dxa" w:w="0"/>
              <w:left w:type="dxa" w:w="0"/>
              <w:bottom w:type="dxa" w:w="0"/>
              <w:right w:type="dxa" w:w="0"/>
            </w:tcMar>
          </w:tcPr>
          <w:p>
            <w:pPr>
              <w:spacing w:after="0" w:before="0"/>
            </w:pPr>
            <w:r>
              <w:rPr>
                <w:sz w:val="4"/>
                <w:szCs w:val="4"/>
              </w:rPr>
              <w:t xml:space="preserve"> </w:t>
            </w:r>
          </w:p>
        </w:tc>
      </w:tr>
    </w:tbl>
    <w:p>
      <w:pPr>
        <w:spacing w:after="80" w:before="80"/>
        <w:jc w:val="left"/>
      </w:pPr>
      <w:r>
        <w:rPr>
          <w:rFonts w:ascii="Calibri" w:cs="Calibri" w:eastAsia="Calibri" w:hAnsi="Calibri"/>
          <w:b w:val="false"/>
          <w:bCs w:val="false"/>
          <w:i w:val="false"/>
          <w:iCs w:val="false"/>
          <w:color w:val="333333"/>
          <w:sz w:val="22"/>
          <w:szCs w:val="22"/>
        </w:rPr>
        <w:t xml:space="preserve"/>
      </w:r>
    </w:p>
    <w:p>
      <w:pPr>
        <w:spacing w:after="80" w:before="80"/>
        <w:jc w:val="left"/>
      </w:pPr>
      <w:r>
        <w:rPr>
          <w:rFonts w:ascii="Calibri" w:cs="Calibri" w:eastAsia="Calibri" w:hAnsi="Calibri"/>
          <w:b/>
          <w:bCs/>
          <w:i w:val="false"/>
          <w:iCs w:val="false"/>
          <w:color w:val="1B2A4A"/>
          <w:sz w:val="22"/>
          <w:szCs w:val="22"/>
        </w:rPr>
        <w:t xml:space="preserve">IF H2S ALARM SOUNDS OR H2S IS DETECTED:</w:t>
      </w:r>
    </w:p>
    <w:p>
      <w:pPr>
        <w:spacing w:after="80" w:before="80"/>
        <w:jc w:val="left"/>
      </w:pPr>
      <w:r>
        <w:rPr>
          <w:rFonts w:ascii="Calibri" w:cs="Calibri" w:eastAsia="Calibri" w:hAnsi="Calibri"/>
          <w:b w:val="false"/>
          <w:bCs w:val="false"/>
          <w:i w:val="false"/>
          <w:iCs w:val="false"/>
          <w:color w:val="333333"/>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800"/>
        <w:gridCol w:w="7000"/>
        <w:gridCol w:w="1560"/>
      </w:tblGrid>
      <w:tr>
        <w:tc>
          <w:tcPr>
            <w:tcW w:type="dxa" w:w="800"/>
            <w:tcBorders>
              <w:top w:val="single" w:color="B0B0B0" w:sz="1"/>
              <w:left w:val="single" w:color="B0B0B0" w:sz="1"/>
              <w:bottom w:val="single" w:color="B0B0B0" w:sz="1"/>
              <w:right w:val="single" w:color="B0B0B0" w:sz="1"/>
            </w:tcBorders>
            <w:shd w:fill="1B2A4A" w:val="clear"/>
            <w:tcMar>
              <w:top w:type="dxa" w:w="60"/>
              <w:left w:type="dxa" w:w="80"/>
              <w:bottom w:type="dxa" w:w="60"/>
              <w:right w:type="dxa" w:w="80"/>
            </w:tcMar>
            <w:vAlign w:val="center"/>
          </w:tcPr>
          <w:p>
            <w:pPr>
              <w:jc w:val="center"/>
            </w:pPr>
            <w:r>
              <w:rPr>
                <w:rFonts w:ascii="Calibri" w:cs="Calibri" w:eastAsia="Calibri" w:hAnsi="Calibri"/>
                <w:b/>
                <w:bCs/>
                <w:color w:val="FFFFFF"/>
                <w:sz w:val="20"/>
                <w:szCs w:val="20"/>
              </w:rPr>
              <w:t xml:space="preserve">Step</w:t>
            </w:r>
          </w:p>
        </w:tc>
        <w:tc>
          <w:tcPr>
            <w:tcW w:type="dxa" w:w="7000"/>
            <w:tcBorders>
              <w:top w:val="single" w:color="B0B0B0" w:sz="1"/>
              <w:left w:val="single" w:color="B0B0B0" w:sz="1"/>
              <w:bottom w:val="single" w:color="B0B0B0" w:sz="1"/>
              <w:right w:val="single" w:color="B0B0B0" w:sz="1"/>
            </w:tcBorders>
            <w:shd w:fill="1B2A4A" w:val="clear"/>
            <w:tcMar>
              <w:top w:type="dxa" w:w="60"/>
              <w:left w:type="dxa" w:w="80"/>
              <w:bottom w:type="dxa" w:w="60"/>
              <w:right w:type="dxa" w:w="80"/>
            </w:tcMar>
            <w:vAlign w:val="center"/>
          </w:tcPr>
          <w:p>
            <w:pPr>
              <w:jc w:val="center"/>
            </w:pPr>
            <w:r>
              <w:rPr>
                <w:rFonts w:ascii="Calibri" w:cs="Calibri" w:eastAsia="Calibri" w:hAnsi="Calibri"/>
                <w:b/>
                <w:bCs/>
                <w:color w:val="FFFFFF"/>
                <w:sz w:val="20"/>
                <w:szCs w:val="20"/>
              </w:rPr>
              <w:t xml:space="preserve">Action</w:t>
            </w:r>
          </w:p>
        </w:tc>
        <w:tc>
          <w:tcPr>
            <w:tcW w:type="dxa" w:w="1560"/>
            <w:tcBorders>
              <w:top w:val="single" w:color="B0B0B0" w:sz="1"/>
              <w:left w:val="single" w:color="B0B0B0" w:sz="1"/>
              <w:bottom w:val="single" w:color="B0B0B0" w:sz="1"/>
              <w:right w:val="single" w:color="B0B0B0" w:sz="1"/>
            </w:tcBorders>
            <w:shd w:fill="1B2A4A" w:val="clear"/>
            <w:tcMar>
              <w:top w:type="dxa" w:w="60"/>
              <w:left w:type="dxa" w:w="80"/>
              <w:bottom w:type="dxa" w:w="60"/>
              <w:right w:type="dxa" w:w="80"/>
            </w:tcMar>
            <w:vAlign w:val="center"/>
          </w:tcPr>
          <w:p>
            <w:pPr>
              <w:jc w:val="center"/>
            </w:pPr>
            <w:r>
              <w:rPr>
                <w:rFonts w:ascii="Calibri" w:cs="Calibri" w:eastAsia="Calibri" w:hAnsi="Calibri"/>
                <w:b/>
                <w:bCs/>
                <w:color w:val="FFFFFF"/>
                <w:sz w:val="20"/>
                <w:szCs w:val="20"/>
              </w:rPr>
              <w:t xml:space="preserve">✓</w:t>
            </w:r>
          </w:p>
        </w:tc>
      </w:tr>
      <w:tr>
        <w:tc>
          <w:tcPr>
            <w:tcW w:type="dxa" w:w="80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1</w:t>
            </w:r>
          </w:p>
        </w:tc>
        <w:tc>
          <w:tcPr>
            <w:tcW w:type="dxa" w:w="700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STOP work immediately</w:t>
            </w:r>
          </w:p>
        </w:tc>
        <w:tc>
          <w:tcPr>
            <w:tcW w:type="dxa" w:w="156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w:t>
            </w:r>
          </w:p>
        </w:tc>
      </w:tr>
      <w:tr>
        <w:tc>
          <w:tcPr>
            <w:tcW w:type="dxa" w:w="80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2</w:t>
            </w:r>
          </w:p>
        </w:tc>
        <w:tc>
          <w:tcPr>
            <w:tcW w:type="dxa" w:w="700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Hold your breath — don escape SCBA if immediately available</w:t>
            </w:r>
          </w:p>
        </w:tc>
        <w:tc>
          <w:tcPr>
            <w:tcW w:type="dxa" w:w="156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w:t>
            </w:r>
          </w:p>
        </w:tc>
      </w:tr>
      <w:tr>
        <w:tc>
          <w:tcPr>
            <w:tcW w:type="dxa" w:w="80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3</w:t>
            </w:r>
          </w:p>
        </w:tc>
        <w:tc>
          <w:tcPr>
            <w:tcW w:type="dxa" w:w="700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Move UPWIND and CROSSWIND to the assembly point</w:t>
            </w:r>
          </w:p>
        </w:tc>
        <w:tc>
          <w:tcPr>
            <w:tcW w:type="dxa" w:w="156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w:t>
            </w:r>
          </w:p>
        </w:tc>
      </w:tr>
      <w:tr>
        <w:tc>
          <w:tcPr>
            <w:tcW w:type="dxa" w:w="80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4</w:t>
            </w:r>
          </w:p>
        </w:tc>
        <w:tc>
          <w:tcPr>
            <w:tcW w:type="dxa" w:w="700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Alert others by radio, horn, or verbal warning</w:t>
            </w:r>
          </w:p>
        </w:tc>
        <w:tc>
          <w:tcPr>
            <w:tcW w:type="dxa" w:w="156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w:t>
            </w:r>
          </w:p>
        </w:tc>
      </w:tr>
      <w:tr>
        <w:tc>
          <w:tcPr>
            <w:tcW w:type="dxa" w:w="80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5</w:t>
            </w:r>
          </w:p>
        </w:tc>
        <w:tc>
          <w:tcPr>
            <w:tcW w:type="dxa" w:w="700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Account for all personnel at assembly point (buddy check)</w:t>
            </w:r>
          </w:p>
        </w:tc>
        <w:tc>
          <w:tcPr>
            <w:tcW w:type="dxa" w:w="156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w:t>
            </w:r>
          </w:p>
        </w:tc>
      </w:tr>
      <w:tr>
        <w:tc>
          <w:tcPr>
            <w:tcW w:type="dxa" w:w="80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6</w:t>
            </w:r>
          </w:p>
        </w:tc>
        <w:tc>
          <w:tcPr>
            <w:tcW w:type="dxa" w:w="700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Call 911 and notify the Site Supervisor</w:t>
            </w:r>
          </w:p>
        </w:tc>
        <w:tc>
          <w:tcPr>
            <w:tcW w:type="dxa" w:w="156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w:t>
            </w:r>
          </w:p>
        </w:tc>
      </w:tr>
      <w:tr>
        <w:tc>
          <w:tcPr>
            <w:tcW w:type="dxa" w:w="80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7</w:t>
            </w:r>
          </w:p>
        </w:tc>
        <w:tc>
          <w:tcPr>
            <w:tcW w:type="dxa" w:w="700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DO NOT re-enter the area without SCBA</w:t>
            </w:r>
          </w:p>
        </w:tc>
        <w:tc>
          <w:tcPr>
            <w:tcW w:type="dxa" w:w="156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w:t>
            </w:r>
          </w:p>
        </w:tc>
      </w:tr>
      <w:tr>
        <w:tc>
          <w:tcPr>
            <w:tcW w:type="dxa" w:w="80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8</w:t>
            </w:r>
          </w:p>
        </w:tc>
        <w:tc>
          <w:tcPr>
            <w:tcW w:type="dxa" w:w="700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If rescue needed — only trained rescuers with SCBA</w:t>
            </w:r>
          </w:p>
        </w:tc>
        <w:tc>
          <w:tcPr>
            <w:tcW w:type="dxa" w:w="156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w:t>
            </w:r>
          </w:p>
        </w:tc>
      </w:tr>
      <w:tr>
        <w:tc>
          <w:tcPr>
            <w:tcW w:type="dxa" w:w="80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9</w:t>
            </w:r>
          </w:p>
        </w:tc>
        <w:tc>
          <w:tcPr>
            <w:tcW w:type="dxa" w:w="700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Administer first aid / CPR if trained</w:t>
            </w:r>
          </w:p>
        </w:tc>
        <w:tc>
          <w:tcPr>
            <w:tcW w:type="dxa" w:w="156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w:t>
            </w:r>
          </w:p>
        </w:tc>
      </w:tr>
      <w:tr>
        <w:tc>
          <w:tcPr>
            <w:tcW w:type="dxa" w:w="80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10</w:t>
            </w:r>
          </w:p>
        </w:tc>
        <w:tc>
          <w:tcPr>
            <w:tcW w:type="dxa" w:w="700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Remain at assembly point until "All Clear" is given</w:t>
            </w:r>
          </w:p>
        </w:tc>
        <w:tc>
          <w:tcPr>
            <w:tcW w:type="dxa" w:w="156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w:t>
            </w:r>
          </w:p>
        </w:tc>
      </w:tr>
    </w:tbl>
    <w:p>
      <w:pPr>
        <w:spacing w:after="80" w:before="80"/>
        <w:jc w:val="left"/>
      </w:pPr>
      <w:r>
        <w:rPr>
          <w:rFonts w:ascii="Calibri" w:cs="Calibri" w:eastAsia="Calibri" w:hAnsi="Calibri"/>
          <w:b w:val="false"/>
          <w:bCs w:val="false"/>
          <w:i w:val="false"/>
          <w:iCs w:val="false"/>
          <w:color w:val="333333"/>
          <w:sz w:val="22"/>
          <w:szCs w:val="22"/>
        </w:rPr>
        <w:t xml:space="preserve"/>
      </w:r>
    </w:p>
    <w:p>
      <w:pPr>
        <w:spacing w:after="80" w:before="80"/>
        <w:jc w:val="left"/>
      </w:pPr>
      <w:r>
        <w:rPr>
          <w:rFonts w:ascii="Calibri" w:cs="Calibri" w:eastAsia="Calibri" w:hAnsi="Calibri"/>
          <w:b/>
          <w:bCs/>
          <w:i w:val="false"/>
          <w:iCs w:val="false"/>
          <w:color w:val="1B2A4A"/>
          <w:sz w:val="22"/>
          <w:szCs w:val="22"/>
        </w:rPr>
        <w:t xml:space="preserve">EMERGENCY CONTACTS:</w:t>
      </w:r>
    </w:p>
    <w:p>
      <w:pPr>
        <w:spacing w:after="80" w:before="80"/>
        <w:jc w:val="left"/>
      </w:pPr>
      <w:r>
        <w:rPr>
          <w:rFonts w:ascii="Calibri" w:cs="Calibri" w:eastAsia="Calibri" w:hAnsi="Calibri"/>
          <w:b w:val="false"/>
          <w:bCs w:val="false"/>
          <w:i w:val="false"/>
          <w:iCs w:val="false"/>
          <w:color w:val="333333"/>
          <w:sz w:val="22"/>
          <w:szCs w:val="22"/>
        </w:rPr>
        <w:t xml:space="preserve">Emergency Services: 911</w:t>
      </w:r>
    </w:p>
    <w:p>
      <w:pPr>
        <w:spacing w:after="80" w:before="80"/>
        <w:jc w:val="left"/>
      </w:pPr>
      <w:r>
        <w:rPr>
          <w:rFonts w:ascii="Calibri" w:cs="Calibri" w:eastAsia="Calibri" w:hAnsi="Calibri"/>
          <w:b w:val="false"/>
          <w:bCs w:val="false"/>
          <w:i w:val="false"/>
          <w:iCs w:val="false"/>
          <w:color w:val="333333"/>
          <w:sz w:val="22"/>
          <w:szCs w:val="22"/>
        </w:rPr>
        <w:t xml:space="preserve">Site Supervisor: ______________________________     Phone: ____________</w:t>
      </w:r>
    </w:p>
    <w:p>
      <w:pPr>
        <w:spacing w:after="80" w:before="80"/>
        <w:jc w:val="left"/>
      </w:pPr>
      <w:r>
        <w:rPr>
          <w:rFonts w:ascii="Calibri" w:cs="Calibri" w:eastAsia="Calibri" w:hAnsi="Calibri"/>
          <w:b w:val="false"/>
          <w:bCs w:val="false"/>
          <w:i w:val="false"/>
          <w:iCs w:val="false"/>
          <w:color w:val="333333"/>
          <w:sz w:val="22"/>
          <w:szCs w:val="22"/>
        </w:rPr>
        <w:t xml:space="preserve">Safety Department: ______________________________     Phone: ____________</w:t>
      </w:r>
    </w:p>
    <w:p>
      <w:pPr>
        <w:spacing w:after="80" w:before="80"/>
        <w:jc w:val="left"/>
      </w:pPr>
      <w:r>
        <w:rPr>
          <w:rFonts w:ascii="Calibri" w:cs="Calibri" w:eastAsia="Calibri" w:hAnsi="Calibri"/>
          <w:b w:val="false"/>
          <w:bCs w:val="false"/>
          <w:i w:val="false"/>
          <w:iCs w:val="false"/>
          <w:color w:val="333333"/>
          <w:sz w:val="22"/>
          <w:szCs w:val="22"/>
        </w:rPr>
        <w:t xml:space="preserve">Poison Control: 1-800-222-1222</w:t>
      </w:r>
    </w:p>
    <w:p>
      <w:pPr>
        <w:spacing w:after="80" w:before="80"/>
        <w:jc w:val="left"/>
      </w:pPr>
      <w:r>
        <w:rPr>
          <w:rFonts w:ascii="Calibri" w:cs="Calibri" w:eastAsia="Calibri" w:hAnsi="Calibri"/>
          <w:b w:val="false"/>
          <w:bCs w:val="false"/>
          <w:i w:val="false"/>
          <w:iCs w:val="false"/>
          <w:color w:val="333333"/>
          <w:sz w:val="22"/>
          <w:szCs w:val="22"/>
        </w:rPr>
        <w:t xml:space="preserve"/>
      </w:r>
    </w:p>
    <w:p>
      <w:pPr>
        <w:spacing w:after="80" w:before="80"/>
        <w:jc w:val="left"/>
      </w:pPr>
      <w:r>
        <w:rPr>
          <w:rFonts w:ascii="Calibri" w:cs="Calibri" w:eastAsia="Calibri" w:hAnsi="Calibri"/>
          <w:b w:val="false"/>
          <w:bCs w:val="false"/>
          <w:i w:val="false"/>
          <w:iCs w:val="false"/>
          <w:color w:val="333333"/>
          <w:sz w:val="22"/>
          <w:szCs w:val="22"/>
        </w:rPr>
        <w:t xml:space="preserve">Assembly Point Location: ______________________________</w:t>
      </w:r>
    </w:p>
    <w:p>
      <w:pPr>
        <w:spacing w:after="80" w:before="80"/>
        <w:jc w:val="left"/>
      </w:pPr>
      <w:r>
        <w:rPr>
          <w:rFonts w:ascii="Calibri" w:cs="Calibri" w:eastAsia="Calibri" w:hAnsi="Calibri"/>
          <w:b w:val="false"/>
          <w:bCs w:val="false"/>
          <w:i w:val="false"/>
          <w:iCs w:val="false"/>
          <w:color w:val="333333"/>
          <w:sz w:val="22"/>
          <w:szCs w:val="22"/>
        </w:rPr>
        <w:t xml:space="preserve">Primary Evacuation Route: ______________________________</w:t>
      </w:r>
    </w:p>
    <w:p>
      <w:pPr>
        <w:spacing w:after="80" w:before="80"/>
        <w:jc w:val="left"/>
      </w:pPr>
      <w:r>
        <w:rPr>
          <w:rFonts w:ascii="Calibri" w:cs="Calibri" w:eastAsia="Calibri" w:hAnsi="Calibri"/>
          <w:b w:val="false"/>
          <w:bCs w:val="false"/>
          <w:i w:val="false"/>
          <w:iCs w:val="false"/>
          <w:color w:val="333333"/>
          <w:sz w:val="22"/>
          <w:szCs w:val="22"/>
        </w:rPr>
        <w:t xml:space="preserve">Secondary Evacuation Route: ______________________________</w:t>
      </w:r>
    </w:p>
    <w:p>
      <w:pPr>
        <w:spacing w:after="80" w:before="80"/>
        <w:jc w:val="left"/>
      </w:pPr>
      <w:r>
        <w:rPr>
          <w:rFonts w:ascii="Calibri" w:cs="Calibri" w:eastAsia="Calibri" w:hAnsi="Calibri"/>
          <w:b w:val="false"/>
          <w:bCs w:val="false"/>
          <w:i w:val="false"/>
          <w:iCs w:val="false"/>
          <w:color w:val="333333"/>
          <w:sz w:val="22"/>
          <w:szCs w:val="22"/>
        </w:rPr>
        <w:t xml:space="preserve">Wind Direction (current): ____________     Windsock Location: ____________</w:t>
      </w:r>
    </w:p>
    <w:sectPr>
      <w:headerReference w:type="default" r:id="rId7"/>
      <w:footerReference w:type="default" r:id="rId8"/>
      <w:pgSz w:w="12240" w:h="15840" w:orient="portrait"/>
      <w:pgMar w:top="1440" w:right="1440" w:bottom="120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Calibri" w:cs="Calibri" w:eastAsia="Calibri" w:hAnsi="Calibri"/>
        <w:color w:val="888888"/>
        <w:sz w:val="16"/>
        <w:szCs w:val="16"/>
      </w:rPr>
      <w:t xml:space="preserve">Hydrogen Sulfide (H2S) Safety Program — [COMPANY NAME]</w:t>
    </w:r>
  </w:p>
  <w:p>
    <w:pPr>
      <w:jc w:val="center"/>
    </w:pPr>
    <w:r>
      <w:rPr>
        <w:rFonts w:ascii="Calibri" w:cs="Calibri" w:eastAsia="Calibri" w:hAnsi="Calibri"/>
        <w:color w:val="888888"/>
        <w:sz w:val="16"/>
        <w:szCs w:val="16"/>
      </w:rPr>
      <w:t xml:space="preserve">Page </w:t>
    </w:r>
    <w:r>
      <w:rPr>
        <w:rFonts w:ascii="Calibri" w:cs="Calibri" w:eastAsia="Calibri" w:hAnsi="Calibri"/>
        <w:color w:val="888888"/>
        <w:sz w:val="16"/>
        <w:szCs w:val="16"/>
      </w:rPr>
      <w:fldChar w:fldCharType="begin"/>
      <w:instrText xml:space="preserve">PAGE</w:instrText>
      <w:fldChar w:fldCharType="separate"/>
      <w:fldChar w:fldCharType="end"/>
    </w:r>
    <w:r>
      <w:rPr>
        <w:rFonts w:ascii="Calibri" w:cs="Calibri" w:eastAsia="Calibri" w:hAnsi="Calibri"/>
        <w:color w:val="888888"/>
        <w:sz w:val="16"/>
        <w:szCs w:val="16"/>
      </w:rPr>
      <w:t xml:space="preserve"> of </w:t>
    </w:r>
    <w:r>
      <w:rPr>
        <w:rFonts w:ascii="Calibri" w:cs="Calibri" w:eastAsia="Calibri" w:hAnsi="Calibri"/>
        <w:color w:val="888888"/>
        <w:sz w:val="16"/>
        <w:szCs w:val="16"/>
      </w:rPr>
      <w:fldChar w:fldCharType="begin"/>
      <w:instrText xml:space="preserve">NUMPAGES</w:instrText>
      <w:fldChar w:fldCharType="separate"/>
      <w:fldChar w:fldCharType="end"/>
    </w:r>
  </w:p>
  <w:p>
    <w:pPr>
      <w:jc w:val="center"/>
    </w:pPr>
    <w:r>
      <w:rPr>
        <w:rFonts w:ascii="Calibri" w:cs="Calibri" w:eastAsia="Calibri" w:hAnsi="Calibri"/>
        <w:i/>
        <w:iCs/>
        <w:color w:val="AAAAAA"/>
        <w:sz w:val="14"/>
        <w:szCs w:val="14"/>
      </w:rPr>
      <w:t xml:space="preserve">CONFIDENTIAL — Property of [COMPANY NAME]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1B2A4A" w:val="clear"/>
          <w:tcMar>
            <w:top w:type="dxa" w:w="60"/>
            <w:left w:type="dxa" w:w="140"/>
            <w:bottom w:type="dxa" w:w="60"/>
            <w:right w:type="dxa" w:w="140"/>
          </w:tcMar>
          <w:vAlign w:val="center"/>
        </w:tcPr>
        <w:p>
          <w:pPr>
            <w:spacing w:after="0" w:before="0"/>
            <w:jc w:val="left"/>
          </w:pPr>
          <w:r>
            <w:rPr>
              <w:rFonts w:ascii="Calibri" w:cs="Calibri" w:eastAsia="Calibri" w:hAnsi="Calibri"/>
              <w:b/>
              <w:bCs/>
              <w:color w:val="FFFFFF"/>
              <w:sz w:val="20"/>
              <w:szCs w:val="20"/>
            </w:rPr>
            <w:t xml:space="preserve">FORBES SAFETY SOLUTIONS</w:t>
          </w:r>
        </w:p>
      </w:tc>
    </w:tr>
    <w:tr>
      <w:tc>
        <w:tcPr>
          <w:tcW w:type="dxa" w:w="9360"/>
          <w:tcBorders>
            <w:top w:val="none" w:color="FFFFFF" w:sz="0"/>
            <w:left w:val="none" w:color="FFFFFF" w:sz="0"/>
            <w:bottom w:val="none" w:color="FFFFFF" w:sz="0"/>
            <w:right w:val="none" w:color="FFFFFF" w:sz="0"/>
          </w:tcBorders>
          <w:shd w:fill="E8A838" w:val="clear"/>
          <w:tcMar>
            <w:top w:type="dxa" w:w="0"/>
            <w:left w:type="dxa" w:w="0"/>
            <w:bottom w:type="dxa" w:w="0"/>
            <w:right w:type="dxa" w:w="0"/>
          </w:tcMar>
        </w:tcPr>
        <w:p>
          <w:pPr>
            <w:spacing w:after="0" w:before="0"/>
          </w:pPr>
          <w:r>
            <w:rPr>
              <w:sz w:val="4"/>
              <w:szCs w:val="4"/>
            </w:rPr>
            <w:t xml:space="preserve"> </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333333"/>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60" w:before="360"/>
      <w:outlineLvl w:val="0"/>
    </w:pPr>
    <w:rPr>
      <w:rFonts w:ascii="Calibri" w:cs="Calibri" w:eastAsia="Calibri" w:hAnsi="Calibri"/>
      <w:b/>
      <w:bCs/>
      <w:color w:val="1B2A4A"/>
      <w:sz w:val="32"/>
      <w:szCs w:val="32"/>
    </w:rPr>
  </w:style>
  <w:style w:type="paragraph" w:styleId="Heading2">
    <w:name w:val="Heading 2"/>
    <w:basedOn w:val="Normal"/>
    <w:next w:val="Normal"/>
    <w:qFormat/>
    <w:pPr>
      <w:spacing w:after="120" w:before="280"/>
      <w:outlineLvl w:val="1"/>
    </w:pPr>
    <w:rPr>
      <w:rFonts w:ascii="Calibri" w:cs="Calibri" w:eastAsia="Calibri" w:hAnsi="Calibri"/>
      <w:b/>
      <w:bCs/>
      <w:color w:val="1B2A4A"/>
      <w:sz w:val="26"/>
      <w:szCs w:val="26"/>
    </w:rPr>
  </w:style>
  <w:style w:type="paragraph" w:styleId="Heading3">
    <w:name w:val="Heading 3"/>
    <w:basedOn w:val="Normal"/>
    <w:next w:val="Normal"/>
    <w:qFormat/>
    <w:pPr>
      <w:spacing w:after="100" w:before="220"/>
      <w:outlineLvl w:val="2"/>
    </w:pPr>
    <w:rPr>
      <w:rFonts w:ascii="Calibri" w:cs="Calibri" w:eastAsia="Calibri" w:hAnsi="Calibri"/>
      <w:b/>
      <w:bCs/>
      <w:color w:val="E8A838"/>
      <w:sz w:val="23"/>
      <w:szCs w:val="23"/>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2026-03-16T00:23:46.172Z</dcterms:created>
  <dcterms:modified xsi:type="dcterms:W3CDTF">2026-03-16T00:23:46.172Z</dcterms:modified>
</cp:coreProperties>
</file>

<file path=docProps/custom.xml><?xml version="1.0" encoding="utf-8"?>
<Properties xmlns="http://schemas.openxmlformats.org/officeDocument/2006/custom-properties" xmlns:vt="http://schemas.openxmlformats.org/officeDocument/2006/docPropsVTypes"/>
</file>