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1B2A4A" w:sz="0"/>
              <w:left w:val="none" w:color="1B2A4A" w:sz="0"/>
              <w:bottom w:val="single" w:color="E8A838" w:sz="8"/>
              <w:right w:val="none" w:color="1B2A4A" w:sz="0"/>
            </w:tcBorders>
            <w:shd w:fill="1B2A4A" w:val="clear"/>
            <w:tcMar>
              <w:top w:type="dxa" w:w="300"/>
              <w:left w:type="dxa" w:w="200"/>
              <w:bottom w:type="dxa" w:w="300"/>
              <w:right w:type="dxa" w:w="200"/>
            </w:tcMar>
          </w:tcPr>
          <w:p>
            <w:pPr>
              <w:spacing w:after="80"/>
              <w:jc w:val="center"/>
            </w:pPr>
            <w:r>
              <w:rPr>
                <w:rFonts w:ascii="Calibri" w:cs="Calibri" w:eastAsia="Calibri" w:hAnsi="Calibri"/>
                <w:b/>
                <w:bCs/>
                <w:color w:val="E8A838"/>
                <w:sz w:val="36"/>
                <w:szCs w:val="36"/>
              </w:rPr>
              <w:t xml:space="preserve">FORBES SAFETY SOLUTIONS</w:t>
            </w:r>
          </w:p>
        </w:tc>
      </w:tr>
    </w:tbl>
    <w:p>
      <w:pPr>
        <w:spacing w:after="0" w:before="500"/>
      </w:pPr>
    </w:p>
    <w:p>
      <w:pPr>
        <w:spacing w:after="200"/>
        <w:jc w:val="center"/>
      </w:pPr>
      <w:r>
        <w:rPr>
          <w:rFonts w:ascii="Calibri" w:cs="Calibri" w:eastAsia="Calibri" w:hAnsi="Calibri"/>
          <w:b/>
          <w:bCs/>
          <w:color w:val="1B2A4A"/>
          <w:sz w:val="52"/>
          <w:szCs w:val="52"/>
        </w:rPr>
        <w:t xml:space="preserve">Portable Fire
Extinguisher Program</w:t>
      </w:r>
    </w:p>
    <w:p>
      <w:pPr>
        <w:spacing w:after="100"/>
        <w:jc w:val="center"/>
      </w:pPr>
      <w:r>
        <w:rPr>
          <w:rFonts w:ascii="Calibri" w:cs="Calibri" w:eastAsia="Calibri" w:hAnsi="Calibri"/>
          <w:color w:val="666666"/>
          <w:sz w:val="28"/>
          <w:szCs w:val="28"/>
        </w:rPr>
        <w:t xml:space="preserve">Fire Prevention, Extinguisher Maintenance &amp; Employee Training</w:t>
      </w:r>
    </w:p>
    <w:tbl>
      <w:tblPr>
        <w:tblW w:type="dxa" w:w="3000"/>
        <w:tblBorders>
          <w:top w:val="single" w:color="auto" w:sz="4"/>
          <w:left w:val="single" w:color="auto" w:sz="4"/>
          <w:bottom w:val="single" w:color="auto" w:sz="4"/>
          <w:right w:val="single" w:color="auto" w:sz="4"/>
          <w:insideH w:val="single" w:color="auto" w:sz="4"/>
          <w:insideV w:val="single" w:color="auto" w:sz="4"/>
        </w:tblBorders>
      </w:tblPr>
      <w:tblGrid>
        <w:gridCol w:w="3000"/>
      </w:tblGrid>
      <w:tr>
        <w:tc>
          <w:tcPr>
            <w:tcW w:type="dxa" w:w="3000"/>
            <w:tcBorders>
              <w:top w:val="none" w:color="E8A838" w:sz="0"/>
              <w:left w:val="none" w:color="E8A838" w:sz="0"/>
              <w:bottom w:val="none" w:color="E8A838" w:sz="0"/>
              <w:right w:val="none" w:color="E8A838" w:sz="0"/>
            </w:tcBorders>
            <w:shd w:fill="E8A838" w:val="clear"/>
          </w:tcPr>
          <w:p>
            <w:pPr>
              <w:spacing w:after="0" w:before="0"/>
            </w:pPr>
            <w:r>
              <w:rPr>
                <w:sz w:val="4"/>
                <w:szCs w:val="4"/>
              </w:rPr>
              <w:t xml:space="preserve"/>
            </w:r>
          </w:p>
        </w:tc>
      </w:tr>
    </w:tbl>
    <w:p>
      <w:pPr>
        <w:spacing w:after="0" w:before="400"/>
      </w:pPr>
    </w:p>
    <w:p>
      <w:pPr>
        <w:spacing w:after="100"/>
        <w:jc w:val="center"/>
      </w:pPr>
      <w:r>
        <w:rPr>
          <w:rFonts w:ascii="Calibri" w:cs="Calibri" w:eastAsia="Calibri" w:hAnsi="Calibri"/>
          <w:color w:val="666666"/>
          <w:sz w:val="24"/>
          <w:szCs w:val="24"/>
        </w:rPr>
        <w:t xml:space="preserve">Prepared for:</w:t>
      </w:r>
    </w:p>
    <w:p>
      <w:pPr>
        <w:spacing w:after="200"/>
        <w:jc w:val="center"/>
      </w:pPr>
      <w:r>
        <w:rPr>
          <w:rFonts w:ascii="Calibri" w:cs="Calibri" w:eastAsia="Calibri" w:hAnsi="Calibri"/>
          <w:b/>
          <w:bCs/>
          <w:color w:val="1B2A4A"/>
          <w:sz w:val="32"/>
          <w:szCs w:val="32"/>
        </w:rPr>
        <w:t xml:space="preserve">[COMPANY NAME]</w:t>
      </w:r>
    </w:p>
    <w:p>
      <w:pPr>
        <w:spacing w:after="100"/>
        <w:jc w:val="center"/>
      </w:pPr>
      <w:r>
        <w:rPr>
          <w:rFonts w:ascii="Calibri" w:cs="Calibri" w:eastAsia="Calibri" w:hAnsi="Calibri"/>
          <w:color w:val="666666"/>
          <w:sz w:val="20"/>
          <w:szCs w:val="20"/>
        </w:rPr>
        <w:t xml:space="preserve">Reference Standards:</w:t>
      </w:r>
    </w:p>
    <w:p>
      <w:pPr>
        <w:spacing w:after="200"/>
        <w:jc w:val="center"/>
      </w:pPr>
      <w:r>
        <w:rPr>
          <w:rFonts w:ascii="Calibri" w:cs="Calibri" w:eastAsia="Calibri" w:hAnsi="Calibri"/>
          <w:i/>
          <w:iCs/>
          <w:color w:val="666666"/>
          <w:sz w:val="20"/>
          <w:szCs w:val="20"/>
        </w:rPr>
        <w:t xml:space="preserve">29 CFR 1910.157 | NFPA 10</w:t>
      </w:r>
    </w:p>
    <w:p>
      <w:pPr>
        <w:spacing w:after="0" w:before="600"/>
      </w:pPr>
    </w:p>
    <w:p>
      <w:pPr>
        <w:spacing w:after="60"/>
        <w:jc w:val="center"/>
      </w:pPr>
      <w:r>
        <w:rPr>
          <w:rFonts w:ascii="Calibri" w:cs="Calibri" w:eastAsia="Calibri" w:hAnsi="Calibri"/>
          <w:color w:val="999999"/>
          <w:sz w:val="20"/>
          <w:szCs w:val="20"/>
        </w:rPr>
        <w:t xml:space="preserve">Date: [DATE]  |  Revision: [REV NUMBER]</w:t>
      </w:r>
    </w:p>
    <w:p>
      <w:r>
        <w:br w:type="page"/>
      </w: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rPr>
          <w:rFonts w:ascii="Calibri" w:cs="Calibri" w:eastAsia="Calibri" w:hAnsi="Calibri"/>
          <w:b/>
          <w:bCs/>
          <w:color w:val="1B2A4A"/>
        </w:rPr>
        <w:t xml:space="preserve">1.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Portable Fire Extinguisher Program establishes the requirements for the selection, placement, inspection, maintenance, and employee training associated with portable fire extinguishers at [COMPANY NAME] in compliance with OSHA 29 CFR 1910.157 and NFPA 10: Standard for Portable Fire Extinguishers.</w:t>
      </w:r>
    </w:p>
    <w:p>
      <w:pPr>
        <w:spacing w:after="120"/>
      </w:pPr>
      <w:r>
        <w:rPr>
          <w:rFonts w:ascii="Calibri" w:cs="Calibri" w:eastAsia="Calibri" w:hAnsi="Calibri"/>
          <w:sz w:val="22"/>
          <w:szCs w:val="22"/>
        </w:rPr>
        <w:t xml:space="preserve">The program ensures that fire extinguishers are properly maintained, accessible, and that employees are trained to respond appropriately to incipient-stage fires.</w:t>
      </w:r>
    </w:p>
    <w:p>
      <w:pPr>
        <w:pStyle w:val="Heading1"/>
      </w:pPr>
      <w:r>
        <w:rPr>
          <w:rFonts w:ascii="Calibri" w:cs="Calibri" w:eastAsia="Calibri" w:hAnsi="Calibri"/>
          <w:b/>
          <w:bCs/>
          <w:color w:val="1B2A4A"/>
        </w:rPr>
        <w:t xml:space="preserve">2.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program applies to all [COMPANY NAME] facilities, job sites, and operations where portable fire extinguishers are provided. It covers:</w:t>
      </w:r>
    </w:p>
    <w:p>
      <w:pPr>
        <w:pStyle w:val="ListParagraph"/>
        <w:numPr>
          <w:ilvl w:val="0"/>
          <w:numId w:val="2"/>
        </w:numPr>
      </w:pPr>
      <w:r>
        <w:rPr>
          <w:rFonts w:ascii="Calibri" w:cs="Calibri" w:eastAsia="Calibri" w:hAnsi="Calibri"/>
          <w:sz w:val="22"/>
          <w:szCs w:val="22"/>
        </w:rPr>
        <w:t xml:space="preserve">All permanent and temporary structures</w:t>
      </w:r>
    </w:p>
    <w:p>
      <w:pPr>
        <w:pStyle w:val="ListParagraph"/>
        <w:numPr>
          <w:ilvl w:val="0"/>
          <w:numId w:val="2"/>
        </w:numPr>
      </w:pPr>
      <w:r>
        <w:rPr>
          <w:rFonts w:ascii="Calibri" w:cs="Calibri" w:eastAsia="Calibri" w:hAnsi="Calibri"/>
          <w:sz w:val="22"/>
          <w:szCs w:val="22"/>
        </w:rPr>
        <w:t xml:space="preserve">Construction job sites</w:t>
      </w:r>
    </w:p>
    <w:p>
      <w:pPr>
        <w:pStyle w:val="ListParagraph"/>
        <w:numPr>
          <w:ilvl w:val="0"/>
          <w:numId w:val="2"/>
        </w:numPr>
      </w:pPr>
      <w:r>
        <w:rPr>
          <w:rFonts w:ascii="Calibri" w:cs="Calibri" w:eastAsia="Calibri" w:hAnsi="Calibri"/>
          <w:sz w:val="22"/>
          <w:szCs w:val="22"/>
        </w:rPr>
        <w:t xml:space="preserve">Maintenance shops and storage facilities</w:t>
      </w:r>
    </w:p>
    <w:p>
      <w:pPr>
        <w:pStyle w:val="ListParagraph"/>
        <w:numPr>
          <w:ilvl w:val="0"/>
          <w:numId w:val="2"/>
        </w:numPr>
      </w:pPr>
      <w:r>
        <w:rPr>
          <w:rFonts w:ascii="Calibri" w:cs="Calibri" w:eastAsia="Calibri" w:hAnsi="Calibri"/>
          <w:sz w:val="22"/>
          <w:szCs w:val="22"/>
        </w:rPr>
        <w:t xml:space="preserve">Company vehicles equipped with fire extinguishers</w:t>
      </w:r>
    </w:p>
    <w:p>
      <w:pPr>
        <w:pStyle w:val="ListParagraph"/>
        <w:numPr>
          <w:ilvl w:val="0"/>
          <w:numId w:val="2"/>
        </w:numPr>
      </w:pPr>
      <w:r>
        <w:rPr>
          <w:rFonts w:ascii="Calibri" w:cs="Calibri" w:eastAsia="Calibri" w:hAnsi="Calibri"/>
          <w:sz w:val="22"/>
          <w:szCs w:val="22"/>
        </w:rPr>
        <w:t xml:space="preserve">Hot work operations</w:t>
      </w:r>
    </w:p>
    <w:p>
      <w:pPr>
        <w:pStyle w:val="Heading1"/>
      </w:pPr>
      <w:r>
        <w:rPr>
          <w:rFonts w:ascii="Calibri" w:cs="Calibri" w:eastAsia="Calibri" w:hAnsi="Calibri"/>
          <w:b/>
          <w:bCs/>
          <w:color w:val="1B2A4A"/>
        </w:rPr>
        <w:t xml:space="preserve">3.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3.1 Management</w:t>
      </w:r>
    </w:p>
    <w:p>
      <w:pPr>
        <w:pStyle w:val="ListParagraph"/>
        <w:numPr>
          <w:ilvl w:val="0"/>
          <w:numId w:val="2"/>
        </w:numPr>
      </w:pPr>
      <w:r>
        <w:rPr>
          <w:rFonts w:ascii="Calibri" w:cs="Calibri" w:eastAsia="Calibri" w:hAnsi="Calibri"/>
          <w:sz w:val="22"/>
          <w:szCs w:val="22"/>
        </w:rPr>
        <w:t xml:space="preserve">Provide an adequate number and type of fire extinguishers</w:t>
      </w:r>
    </w:p>
    <w:p>
      <w:pPr>
        <w:pStyle w:val="ListParagraph"/>
        <w:numPr>
          <w:ilvl w:val="0"/>
          <w:numId w:val="2"/>
        </w:numPr>
      </w:pPr>
      <w:r>
        <w:rPr>
          <w:rFonts w:ascii="Calibri" w:cs="Calibri" w:eastAsia="Calibri" w:hAnsi="Calibri"/>
          <w:sz w:val="22"/>
          <w:szCs w:val="22"/>
        </w:rPr>
        <w:t xml:space="preserve">Fund inspection, maintenance, and training programs</w:t>
      </w:r>
    </w:p>
    <w:p>
      <w:pPr>
        <w:pStyle w:val="ListParagraph"/>
        <w:numPr>
          <w:ilvl w:val="0"/>
          <w:numId w:val="2"/>
        </w:numPr>
      </w:pPr>
      <w:r>
        <w:rPr>
          <w:rFonts w:ascii="Calibri" w:cs="Calibri" w:eastAsia="Calibri" w:hAnsi="Calibri"/>
          <w:sz w:val="22"/>
          <w:szCs w:val="22"/>
        </w:rPr>
        <w:t xml:space="preserve">Ensure compliance with this program</w:t>
      </w:r>
    </w:p>
    <w:p>
      <w:pPr>
        <w:pStyle w:val="Heading2"/>
      </w:pPr>
      <w:r>
        <w:rPr>
          <w:rFonts w:ascii="Calibri" w:cs="Calibri" w:eastAsia="Calibri" w:hAnsi="Calibri"/>
          <w:b/>
          <w:bCs/>
          <w:color w:val="1B2A4A"/>
        </w:rPr>
        <w:t xml:space="preserve">3.2 Safety Manager</w:t>
      </w:r>
    </w:p>
    <w:p>
      <w:pPr>
        <w:pStyle w:val="ListParagraph"/>
        <w:numPr>
          <w:ilvl w:val="0"/>
          <w:numId w:val="2"/>
        </w:numPr>
      </w:pPr>
      <w:r>
        <w:rPr>
          <w:rFonts w:ascii="Calibri" w:cs="Calibri" w:eastAsia="Calibri" w:hAnsi="Calibri"/>
          <w:sz w:val="22"/>
          <w:szCs w:val="22"/>
        </w:rPr>
        <w:t xml:space="preserve">Develop and maintain this program</w:t>
      </w:r>
    </w:p>
    <w:p>
      <w:pPr>
        <w:pStyle w:val="ListParagraph"/>
        <w:numPr>
          <w:ilvl w:val="0"/>
          <w:numId w:val="2"/>
        </w:numPr>
      </w:pPr>
      <w:r>
        <w:rPr>
          <w:rFonts w:ascii="Calibri" w:cs="Calibri" w:eastAsia="Calibri" w:hAnsi="Calibri"/>
          <w:sz w:val="22"/>
          <w:szCs w:val="22"/>
        </w:rPr>
        <w:t xml:space="preserve">Conduct or coordinate annual employee training</w:t>
      </w:r>
    </w:p>
    <w:p>
      <w:pPr>
        <w:pStyle w:val="ListParagraph"/>
        <w:numPr>
          <w:ilvl w:val="0"/>
          <w:numId w:val="2"/>
        </w:numPr>
      </w:pPr>
      <w:r>
        <w:rPr>
          <w:rFonts w:ascii="Calibri" w:cs="Calibri" w:eastAsia="Calibri" w:hAnsi="Calibri"/>
          <w:sz w:val="22"/>
          <w:szCs w:val="22"/>
        </w:rPr>
        <w:t xml:space="preserve">Oversee monthly inspections and annual maintenance</w:t>
      </w:r>
    </w:p>
    <w:p>
      <w:pPr>
        <w:pStyle w:val="ListParagraph"/>
        <w:numPr>
          <w:ilvl w:val="0"/>
          <w:numId w:val="2"/>
        </w:numPr>
      </w:pPr>
      <w:r>
        <w:rPr>
          <w:rFonts w:ascii="Calibri" w:cs="Calibri" w:eastAsia="Calibri" w:hAnsi="Calibri"/>
          <w:sz w:val="22"/>
          <w:szCs w:val="22"/>
        </w:rPr>
        <w:t xml:space="preserve">Contract with certified fire protection service providers</w:t>
      </w:r>
    </w:p>
    <w:p>
      <w:pPr>
        <w:pStyle w:val="ListParagraph"/>
        <w:numPr>
          <w:ilvl w:val="0"/>
          <w:numId w:val="2"/>
        </w:numPr>
      </w:pPr>
      <w:r>
        <w:rPr>
          <w:rFonts w:ascii="Calibri" w:cs="Calibri" w:eastAsia="Calibri" w:hAnsi="Calibri"/>
          <w:sz w:val="22"/>
          <w:szCs w:val="22"/>
        </w:rPr>
        <w:t xml:space="preserve">Maintain all inspection and maintenance records</w:t>
      </w:r>
    </w:p>
    <w:p>
      <w:pPr>
        <w:pStyle w:val="Heading2"/>
      </w:pPr>
      <w:r>
        <w:rPr>
          <w:rFonts w:ascii="Calibri" w:cs="Calibri" w:eastAsia="Calibri" w:hAnsi="Calibri"/>
          <w:b/>
          <w:bCs/>
          <w:color w:val="1B2A4A"/>
        </w:rPr>
        <w:t xml:space="preserve">3.3 Supervisors</w:t>
      </w:r>
    </w:p>
    <w:p>
      <w:pPr>
        <w:pStyle w:val="ListParagraph"/>
        <w:numPr>
          <w:ilvl w:val="0"/>
          <w:numId w:val="2"/>
        </w:numPr>
      </w:pPr>
      <w:r>
        <w:rPr>
          <w:rFonts w:ascii="Calibri" w:cs="Calibri" w:eastAsia="Calibri" w:hAnsi="Calibri"/>
          <w:sz w:val="22"/>
          <w:szCs w:val="22"/>
        </w:rPr>
        <w:t xml:space="preserve">Ensure fire extinguishers in their areas are accessible and unobstructed</w:t>
      </w:r>
    </w:p>
    <w:p>
      <w:pPr>
        <w:pStyle w:val="ListParagraph"/>
        <w:numPr>
          <w:ilvl w:val="0"/>
          <w:numId w:val="2"/>
        </w:numPr>
      </w:pPr>
      <w:r>
        <w:rPr>
          <w:rFonts w:ascii="Calibri" w:cs="Calibri" w:eastAsia="Calibri" w:hAnsi="Calibri"/>
          <w:sz w:val="22"/>
          <w:szCs w:val="22"/>
        </w:rPr>
        <w:t xml:space="preserve">Perform or assign monthly visual inspections</w:t>
      </w:r>
    </w:p>
    <w:p>
      <w:pPr>
        <w:pStyle w:val="ListParagraph"/>
        <w:numPr>
          <w:ilvl w:val="0"/>
          <w:numId w:val="2"/>
        </w:numPr>
      </w:pPr>
      <w:r>
        <w:rPr>
          <w:rFonts w:ascii="Calibri" w:cs="Calibri" w:eastAsia="Calibri" w:hAnsi="Calibri"/>
          <w:sz w:val="22"/>
          <w:szCs w:val="22"/>
        </w:rPr>
        <w:t xml:space="preserve">Report any missing, damaged, or discharged extinguishers immediately</w:t>
      </w:r>
    </w:p>
    <w:p>
      <w:pPr>
        <w:pStyle w:val="Heading2"/>
      </w:pPr>
      <w:r>
        <w:rPr>
          <w:rFonts w:ascii="Calibri" w:cs="Calibri" w:eastAsia="Calibri" w:hAnsi="Calibri"/>
          <w:b/>
          <w:bCs/>
          <w:color w:val="1B2A4A"/>
        </w:rPr>
        <w:t xml:space="preserve">3.4 Employees</w:t>
      </w:r>
    </w:p>
    <w:p>
      <w:pPr>
        <w:pStyle w:val="ListParagraph"/>
        <w:numPr>
          <w:ilvl w:val="0"/>
          <w:numId w:val="2"/>
        </w:numPr>
      </w:pPr>
      <w:r>
        <w:rPr>
          <w:rFonts w:ascii="Calibri" w:cs="Calibri" w:eastAsia="Calibri" w:hAnsi="Calibri"/>
          <w:sz w:val="22"/>
          <w:szCs w:val="22"/>
        </w:rPr>
        <w:t xml:space="preserve">Know the locations of fire extinguishers in their work areas</w:t>
      </w:r>
    </w:p>
    <w:p>
      <w:pPr>
        <w:pStyle w:val="ListParagraph"/>
        <w:numPr>
          <w:ilvl w:val="0"/>
          <w:numId w:val="2"/>
        </w:numPr>
      </w:pPr>
      <w:r>
        <w:rPr>
          <w:rFonts w:ascii="Calibri" w:cs="Calibri" w:eastAsia="Calibri" w:hAnsi="Calibri"/>
          <w:sz w:val="22"/>
          <w:szCs w:val="22"/>
        </w:rPr>
        <w:t xml:space="preserve">Do not obstruct access to fire extinguishers</w:t>
      </w:r>
    </w:p>
    <w:p>
      <w:pPr>
        <w:pStyle w:val="ListParagraph"/>
        <w:numPr>
          <w:ilvl w:val="0"/>
          <w:numId w:val="2"/>
        </w:numPr>
      </w:pPr>
      <w:r>
        <w:rPr>
          <w:rFonts w:ascii="Calibri" w:cs="Calibri" w:eastAsia="Calibri" w:hAnsi="Calibri"/>
          <w:sz w:val="22"/>
          <w:szCs w:val="22"/>
        </w:rPr>
        <w:t xml:space="preserve">Report missing, damaged, or used fire extinguishers to their supervisor</w:t>
      </w:r>
    </w:p>
    <w:p>
      <w:pPr>
        <w:pStyle w:val="ListParagraph"/>
        <w:numPr>
          <w:ilvl w:val="0"/>
          <w:numId w:val="2"/>
        </w:numPr>
      </w:pPr>
      <w:r>
        <w:rPr>
          <w:rFonts w:ascii="Calibri" w:cs="Calibri" w:eastAsia="Calibri" w:hAnsi="Calibri"/>
          <w:sz w:val="22"/>
          <w:szCs w:val="22"/>
        </w:rPr>
        <w:t xml:space="preserve">Complete required fire extinguisher training</w:t>
      </w:r>
    </w:p>
    <w:p>
      <w:pPr>
        <w:pStyle w:val="Heading1"/>
      </w:pPr>
      <w:r>
        <w:rPr>
          <w:rFonts w:ascii="Calibri" w:cs="Calibri" w:eastAsia="Calibri" w:hAnsi="Calibri"/>
          <w:b/>
          <w:bCs/>
          <w:color w:val="1B2A4A"/>
        </w:rPr>
        <w:t xml:space="preserve">4. Fire Classes and Extinguisher Types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4.1 Fire Classifications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000"/>
        <w:gridCol w:w="3000"/>
        <w:gridCol w:w="2960"/>
      </w:tblGrid>
      <w:tr>
        <w:tc>
          <w:tcPr>
            <w:tcW w:type="dxa" w:w="1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Fire Class</w:t>
            </w:r>
          </w:p>
        </w:tc>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Fuel Type</w:t>
            </w:r>
          </w:p>
        </w:tc>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Examples</w:t>
            </w:r>
          </w:p>
        </w:tc>
        <w:tc>
          <w:tcPr>
            <w:tcW w:type="dxa" w:w="29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Extinguisher Type</w:t>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Class A</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Ordinary combustibles</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Wood, paper, cloth, rubber, many plastics</w:t>
            </w:r>
          </w:p>
        </w:tc>
        <w:tc>
          <w:tcPr>
            <w:tcW w:type="dxa" w:w="2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Water, foam, dry chemical, wet chemical</w:t>
            </w:r>
          </w:p>
        </w:tc>
      </w:tr>
      <w:tr>
        <w:tc>
          <w:tcPr>
            <w:tcW w:type="dxa" w:w="1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Class B</w:t>
            </w:r>
          </w:p>
        </w:tc>
        <w:tc>
          <w:tcPr>
            <w:tcW w:type="dxa" w:w="2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Flammable liquids/gases</w:t>
            </w:r>
          </w:p>
        </w:tc>
        <w:tc>
          <w:tcPr>
            <w:tcW w:type="dxa" w:w="3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Gasoline, oil, grease, paint, propane</w:t>
            </w:r>
          </w:p>
        </w:tc>
        <w:tc>
          <w:tcPr>
            <w:tcW w:type="dxa" w:w="29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CO2, dry chemical, foam, clean agent</w:t>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Class C</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Energized electrical</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Motors, switchgear, wiring, panels</w:t>
            </w:r>
          </w:p>
        </w:tc>
        <w:tc>
          <w:tcPr>
            <w:tcW w:type="dxa" w:w="2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CO2, dry chemical, clean agent (de-energize first if possible)</w:t>
            </w:r>
          </w:p>
        </w:tc>
      </w:tr>
      <w:tr>
        <w:tc>
          <w:tcPr>
            <w:tcW w:type="dxa" w:w="1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Class D</w:t>
            </w:r>
          </w:p>
        </w:tc>
        <w:tc>
          <w:tcPr>
            <w:tcW w:type="dxa" w:w="2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Combustible metals</w:t>
            </w:r>
          </w:p>
        </w:tc>
        <w:tc>
          <w:tcPr>
            <w:tcW w:type="dxa" w:w="3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Magnesium, titanium, sodium, lithium</w:t>
            </w:r>
          </w:p>
        </w:tc>
        <w:tc>
          <w:tcPr>
            <w:tcW w:type="dxa" w:w="29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Dry powder (specific to metal type)</w:t>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Class K</w:t>
            </w:r>
          </w:p>
        </w:tc>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Cooking oils/fats</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Deep fryers, commercial cooking</w:t>
            </w:r>
          </w:p>
        </w:tc>
        <w:tc>
          <w:tcPr>
            <w:tcW w:type="dxa" w:w="2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Wet chemical (potassium acetate)</w:t>
            </w:r>
          </w:p>
        </w:tc>
      </w:tr>
    </w:tbl>
    <w:p>
      <w:pPr>
        <w:pStyle w:val="Heading2"/>
      </w:pPr>
      <w:r>
        <w:rPr>
          <w:rFonts w:ascii="Calibri" w:cs="Calibri" w:eastAsia="Calibri" w:hAnsi="Calibri"/>
          <w:b/>
          <w:bCs/>
          <w:color w:val="1B2A4A"/>
        </w:rPr>
        <w:t xml:space="preserve">4.2 Common Extinguisher Types and Ratings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400"/>
        <w:gridCol w:w="1800"/>
        <w:gridCol w:w="1600"/>
        <w:gridCol w:w="2560"/>
      </w:tblGrid>
      <w:tr>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Extinguisher Type</w:t>
            </w:r>
          </w:p>
        </w:tc>
        <w:tc>
          <w:tcPr>
            <w:tcW w:type="dxa" w:w="1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Fire Classes</w:t>
            </w:r>
          </w:p>
        </w:tc>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Typical Rating</w:t>
            </w:r>
          </w:p>
        </w:tc>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Effective Range</w:t>
            </w:r>
          </w:p>
        </w:tc>
        <w:tc>
          <w:tcPr>
            <w:tcW w:type="dxa" w:w="25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Discharge Time</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ABC Dry Chemical</w:t>
            </w:r>
          </w:p>
        </w:tc>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 B, C</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4-A:80-B:C (10 lb)</w:t>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10–20 ft</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15–25 sec</w:t>
            </w:r>
          </w:p>
        </w:tc>
      </w:tr>
      <w:tr>
        <w:tc>
          <w:tcPr>
            <w:tcW w:type="dxa" w:w="2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CO2 (Carbon Dioxide)</w:t>
            </w:r>
          </w:p>
        </w:tc>
        <w:tc>
          <w:tcPr>
            <w:tcW w:type="dxa" w:w="1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B, C</w:t>
            </w:r>
          </w:p>
        </w:tc>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10-B:C (10 lb)</w:t>
            </w:r>
          </w:p>
        </w:tc>
        <w:tc>
          <w:tcPr>
            <w:tcW w:type="dxa" w:w="16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3–8 ft</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8–30 sec</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Water (stored pressure)</w:t>
            </w:r>
          </w:p>
        </w:tc>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 only</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2-A (2.5 gal)</w:t>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30–40 ft</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60 sec</w:t>
            </w:r>
          </w:p>
        </w:tc>
      </w:tr>
      <w:tr>
        <w:tc>
          <w:tcPr>
            <w:tcW w:type="dxa" w:w="2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Class K Wet Chemical</w:t>
            </w:r>
          </w:p>
        </w:tc>
        <w:tc>
          <w:tcPr>
            <w:tcW w:type="dxa" w:w="1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K</w:t>
            </w:r>
          </w:p>
        </w:tc>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Per NFPA 10</w:t>
            </w:r>
          </w:p>
        </w:tc>
        <w:tc>
          <w:tcPr>
            <w:tcW w:type="dxa" w:w="16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10–12 ft</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30–85 sec</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Dry Powder (Class D)</w:t>
            </w:r>
          </w:p>
        </w:tc>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D (specific metals)</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Per metal type</w:t>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3–8 ft</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Varies</w:t>
            </w:r>
          </w:p>
        </w:tc>
      </w:tr>
      <w:tr>
        <w:tc>
          <w:tcPr>
            <w:tcW w:type="dxa" w:w="2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Clean Agent (Halotron)</w:t>
            </w:r>
          </w:p>
        </w:tc>
        <w:tc>
          <w:tcPr>
            <w:tcW w:type="dxa" w:w="1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A, B, C</w:t>
            </w:r>
          </w:p>
        </w:tc>
        <w:tc>
          <w:tcPr>
            <w:tcW w:type="dxa" w:w="1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1-A:10-B:C</w:t>
            </w:r>
          </w:p>
        </w:tc>
        <w:tc>
          <w:tcPr>
            <w:tcW w:type="dxa" w:w="16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6–10 ft</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8–15 sec</w:t>
            </w:r>
          </w:p>
        </w:tc>
      </w:tr>
    </w:tbl>
    <w:p>
      <w:pPr>
        <w:pStyle w:val="Heading1"/>
      </w:pPr>
      <w:r>
        <w:rPr>
          <w:rFonts w:ascii="Calibri" w:cs="Calibri" w:eastAsia="Calibri" w:hAnsi="Calibri"/>
          <w:b/>
          <w:bCs/>
          <w:color w:val="1B2A4A"/>
        </w:rPr>
        <w:t xml:space="preserve">5. Placement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5.1 Travel Distance Requirements</w:t>
      </w:r>
    </w:p>
    <w:p>
      <w:pPr>
        <w:spacing w:after="120"/>
      </w:pPr>
      <w:r>
        <w:rPr>
          <w:rFonts w:ascii="Calibri" w:cs="Calibri" w:eastAsia="Calibri" w:hAnsi="Calibri"/>
          <w:sz w:val="22"/>
          <w:szCs w:val="22"/>
        </w:rPr>
        <w:t xml:space="preserve">Fire extinguishers shall be distributed so that the travel distance for employees to any extinguisher does not exceed the following maximums per 29 CFR 1910.157(d) and NFPA 10:</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400"/>
        <w:gridCol w:w="2400"/>
        <w:gridCol w:w="2560"/>
      </w:tblGrid>
      <w:tr>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Fire Class</w:t>
            </w:r>
          </w:p>
        </w:tc>
        <w:tc>
          <w:tcPr>
            <w:tcW w:type="dxa" w:w="2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Maximum Travel Distance</w:t>
            </w:r>
          </w:p>
        </w:tc>
        <w:tc>
          <w:tcPr>
            <w:tcW w:type="dxa" w:w="2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Maximum Spacing (Approx.)</w:t>
            </w:r>
          </w:p>
        </w:tc>
        <w:tc>
          <w:tcPr>
            <w:tcW w:type="dxa" w:w="25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Minimum Rating</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Class A</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75 feet (22.9 m)</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One per 3,000 sq ft (typical)</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2-A minimum</w:t>
            </w:r>
          </w:p>
        </w:tc>
      </w:tr>
      <w:tr>
        <w:tc>
          <w:tcPr>
            <w:tcW w:type="dxa" w:w="2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Class B</w:t>
            </w:r>
          </w:p>
        </w:tc>
        <w:tc>
          <w:tcPr>
            <w:tcW w:type="dxa" w:w="2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50 feet (15.2 m)</w:t>
            </w:r>
          </w:p>
        </w:tc>
        <w:tc>
          <w:tcPr>
            <w:tcW w:type="dxa" w:w="2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Based on hazard level</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Varies by hazard</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Class C</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Based on Class A or B hazard present</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N/A</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N/A (rated for A or B)</w:t>
            </w:r>
          </w:p>
        </w:tc>
      </w:tr>
      <w:tr>
        <w:tc>
          <w:tcPr>
            <w:tcW w:type="dxa" w:w="20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Class D</w:t>
            </w:r>
          </w:p>
        </w:tc>
        <w:tc>
          <w:tcPr>
            <w:tcW w:type="dxa" w:w="2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75 feet (22.9 m)</w:t>
            </w:r>
          </w:p>
        </w:tc>
        <w:tc>
          <w:tcPr>
            <w:tcW w:type="dxa" w:w="24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Based on work area</w:t>
            </w:r>
          </w:p>
        </w:tc>
        <w:tc>
          <w:tcPr>
            <w:tcW w:type="dxa" w:w="25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Per metal type</w:t>
            </w:r>
          </w:p>
        </w:tc>
      </w:tr>
      <w:tr>
        <w:tc>
          <w:tcPr>
            <w:tcW w:type="dxa" w:w="2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Class K</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30 feet (9.1 m)</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Within kitchen area</w:t>
            </w:r>
          </w:p>
        </w:tc>
        <w:tc>
          <w:tcPr>
            <w:tcW w:type="dxa" w:w="2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Per NFPA 10</w:t>
            </w:r>
          </w:p>
        </w:tc>
      </w:tr>
    </w:tbl>
    <w:p>
      <w:pPr>
        <w:pStyle w:val="Heading2"/>
      </w:pPr>
      <w:r>
        <w:rPr>
          <w:rFonts w:ascii="Calibri" w:cs="Calibri" w:eastAsia="Calibri" w:hAnsi="Calibri"/>
          <w:b/>
          <w:bCs/>
          <w:color w:val="1B2A4A"/>
        </w:rPr>
        <w:t xml:space="preserve">5.2 Mounting Requirements</w:t>
      </w:r>
    </w:p>
    <w:p>
      <w:pPr>
        <w:spacing w:after="120"/>
      </w:pPr>
      <w:r>
        <w:rPr>
          <w:rFonts w:ascii="Calibri" w:cs="Calibri" w:eastAsia="Calibri" w:hAnsi="Calibri"/>
          <w:sz w:val="22"/>
          <w:szCs w:val="22"/>
        </w:rPr>
        <w:t xml:space="preserve">Per 29 CFR 1910.157(c) and NFPA 10:</w:t>
      </w:r>
    </w:p>
    <w:p>
      <w:pPr>
        <w:pStyle w:val="ListParagraph"/>
        <w:numPr>
          <w:ilvl w:val="0"/>
          <w:numId w:val="2"/>
        </w:numPr>
      </w:pPr>
      <w:r>
        <w:rPr>
          <w:rFonts w:ascii="Calibri" w:cs="Calibri" w:eastAsia="Calibri" w:hAnsi="Calibri"/>
          <w:sz w:val="22"/>
          <w:szCs w:val="22"/>
        </w:rPr>
        <w:t xml:space="preserve">Extinguishers weighing 40 lbs or less: top of extinguisher not more than 5 feet above the floor</w:t>
      </w:r>
    </w:p>
    <w:p>
      <w:pPr>
        <w:pStyle w:val="ListParagraph"/>
        <w:numPr>
          <w:ilvl w:val="0"/>
          <w:numId w:val="2"/>
        </w:numPr>
      </w:pPr>
      <w:r>
        <w:rPr>
          <w:rFonts w:ascii="Calibri" w:cs="Calibri" w:eastAsia="Calibri" w:hAnsi="Calibri"/>
          <w:sz w:val="22"/>
          <w:szCs w:val="22"/>
        </w:rPr>
        <w:t xml:space="preserve">Extinguishers weighing more than 40 lbs: top of extinguisher not more than 3.5 feet above the floor</w:t>
      </w:r>
    </w:p>
    <w:p>
      <w:pPr>
        <w:pStyle w:val="ListParagraph"/>
        <w:numPr>
          <w:ilvl w:val="0"/>
          <w:numId w:val="2"/>
        </w:numPr>
      </w:pPr>
      <w:r>
        <w:rPr>
          <w:rFonts w:ascii="Calibri" w:cs="Calibri" w:eastAsia="Calibri" w:hAnsi="Calibri"/>
          <w:sz w:val="22"/>
          <w:szCs w:val="22"/>
        </w:rPr>
        <w:t xml:space="preserve">Bottom of extinguisher shall be at least 4 inches above the floor</w:t>
      </w:r>
    </w:p>
    <w:p>
      <w:pPr>
        <w:pStyle w:val="ListParagraph"/>
        <w:numPr>
          <w:ilvl w:val="0"/>
          <w:numId w:val="2"/>
        </w:numPr>
      </w:pPr>
      <w:r>
        <w:rPr>
          <w:rFonts w:ascii="Calibri" w:cs="Calibri" w:eastAsia="Calibri" w:hAnsi="Calibri"/>
          <w:sz w:val="22"/>
          <w:szCs w:val="22"/>
        </w:rPr>
        <w:t xml:space="preserve">Extinguishers shall be mounted in conspicuous locations along normal paths of travel</w:t>
      </w:r>
    </w:p>
    <w:p>
      <w:pPr>
        <w:pStyle w:val="ListParagraph"/>
        <w:numPr>
          <w:ilvl w:val="0"/>
          <w:numId w:val="2"/>
        </w:numPr>
      </w:pPr>
      <w:r>
        <w:rPr>
          <w:rFonts w:ascii="Calibri" w:cs="Calibri" w:eastAsia="Calibri" w:hAnsi="Calibri"/>
          <w:sz w:val="22"/>
          <w:szCs w:val="22"/>
        </w:rPr>
        <w:t xml:space="preserve">Locations shall be marked with signage visible from a distance</w:t>
      </w:r>
    </w:p>
    <w:p>
      <w:pPr>
        <w:pStyle w:val="ListParagraph"/>
        <w:numPr>
          <w:ilvl w:val="0"/>
          <w:numId w:val="2"/>
        </w:numPr>
      </w:pPr>
      <w:r>
        <w:rPr>
          <w:rFonts w:ascii="Calibri" w:cs="Calibri" w:eastAsia="Calibri" w:hAnsi="Calibri"/>
          <w:sz w:val="22"/>
          <w:szCs w:val="22"/>
        </w:rPr>
        <w:t xml:space="preserve">Extinguishers shall not be obstructed or obscured from view</w:t>
      </w:r>
    </w:p>
    <w:p>
      <w:pPr>
        <w:pStyle w:val="Heading2"/>
      </w:pPr>
      <w:r>
        <w:rPr>
          <w:rFonts w:ascii="Calibri" w:cs="Calibri" w:eastAsia="Calibri" w:hAnsi="Calibri"/>
          <w:b/>
          <w:bCs/>
          <w:color w:val="1B2A4A"/>
        </w:rPr>
        <w:t xml:space="preserve">5.3 Environmental Considerations</w:t>
      </w:r>
    </w:p>
    <w:p>
      <w:pPr>
        <w:pStyle w:val="ListParagraph"/>
        <w:numPr>
          <w:ilvl w:val="0"/>
          <w:numId w:val="2"/>
        </w:numPr>
      </w:pPr>
      <w:r>
        <w:rPr>
          <w:rFonts w:ascii="Calibri" w:cs="Calibri" w:eastAsia="Calibri" w:hAnsi="Calibri"/>
          <w:sz w:val="22"/>
          <w:szCs w:val="22"/>
        </w:rPr>
        <w:t xml:space="preserve">Protect from freezing where temperatures may drop below 40°F (use freeze-rated or antifreeze types)</w:t>
      </w:r>
    </w:p>
    <w:p>
      <w:pPr>
        <w:pStyle w:val="ListParagraph"/>
        <w:numPr>
          <w:ilvl w:val="0"/>
          <w:numId w:val="2"/>
        </w:numPr>
      </w:pPr>
      <w:r>
        <w:rPr>
          <w:rFonts w:ascii="Calibri" w:cs="Calibri" w:eastAsia="Calibri" w:hAnsi="Calibri"/>
          <w:sz w:val="22"/>
          <w:szCs w:val="22"/>
        </w:rPr>
        <w:t xml:space="preserve">Protect from physical damage in high-traffic areas (use cabinets or recessed mounts)</w:t>
      </w:r>
    </w:p>
    <w:p>
      <w:pPr>
        <w:pStyle w:val="ListParagraph"/>
        <w:numPr>
          <w:ilvl w:val="0"/>
          <w:numId w:val="2"/>
        </w:numPr>
      </w:pPr>
      <w:r>
        <w:rPr>
          <w:rFonts w:ascii="Calibri" w:cs="Calibri" w:eastAsia="Calibri" w:hAnsi="Calibri"/>
          <w:sz w:val="22"/>
          <w:szCs w:val="22"/>
        </w:rPr>
        <w:t xml:space="preserve">Corrosive environments may require special coatings or stainless steel units</w:t>
      </w:r>
    </w:p>
    <w:p>
      <w:pPr>
        <w:pStyle w:val="Heading1"/>
      </w:pPr>
      <w:r>
        <w:rPr>
          <w:rFonts w:ascii="Calibri" w:cs="Calibri" w:eastAsia="Calibri" w:hAnsi="Calibri"/>
          <w:b/>
          <w:bCs/>
          <w:color w:val="1B2A4A"/>
        </w:rPr>
        <w:t xml:space="preserve">6. Inspection and Maintenance Schedule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6.1 Monthly Visual Inspection</w:t>
      </w:r>
    </w:p>
    <w:p>
      <w:pPr>
        <w:spacing w:after="120"/>
      </w:pPr>
      <w:r>
        <w:rPr>
          <w:rFonts w:ascii="Calibri" w:cs="Calibri" w:eastAsia="Calibri" w:hAnsi="Calibri"/>
          <w:sz w:val="22"/>
          <w:szCs w:val="22"/>
        </w:rPr>
        <w:t xml:space="preserve">A designated person shall visually inspect all fire extinguishers monthly per NFPA 10, Section 7.2. The monthly inspection shall verify:</w:t>
      </w:r>
    </w:p>
    <w:p>
      <w:pPr>
        <w:pStyle w:val="ListParagraph"/>
        <w:numPr>
          <w:ilvl w:val="0"/>
          <w:numId w:val="2"/>
        </w:numPr>
      </w:pPr>
      <w:r>
        <w:rPr>
          <w:rFonts w:ascii="Calibri" w:cs="Calibri" w:eastAsia="Calibri" w:hAnsi="Calibri"/>
          <w:sz w:val="22"/>
          <w:szCs w:val="22"/>
        </w:rPr>
        <w:t xml:space="preserve">Extinguisher is in its designated location</w:t>
      </w:r>
    </w:p>
    <w:p>
      <w:pPr>
        <w:pStyle w:val="ListParagraph"/>
        <w:numPr>
          <w:ilvl w:val="0"/>
          <w:numId w:val="2"/>
        </w:numPr>
      </w:pPr>
      <w:r>
        <w:rPr>
          <w:rFonts w:ascii="Calibri" w:cs="Calibri" w:eastAsia="Calibri" w:hAnsi="Calibri"/>
          <w:sz w:val="22"/>
          <w:szCs w:val="22"/>
        </w:rPr>
        <w:t xml:space="preserve">Access and visibility are not obstructed</w:t>
      </w:r>
    </w:p>
    <w:p>
      <w:pPr>
        <w:pStyle w:val="ListParagraph"/>
        <w:numPr>
          <w:ilvl w:val="0"/>
          <w:numId w:val="2"/>
        </w:numPr>
      </w:pPr>
      <w:r>
        <w:rPr>
          <w:rFonts w:ascii="Calibri" w:cs="Calibri" w:eastAsia="Calibri" w:hAnsi="Calibri"/>
          <w:sz w:val="22"/>
          <w:szCs w:val="22"/>
        </w:rPr>
        <w:t xml:space="preserve">Operating instructions are legible and facing outward</w:t>
      </w:r>
    </w:p>
    <w:p>
      <w:pPr>
        <w:pStyle w:val="ListParagraph"/>
        <w:numPr>
          <w:ilvl w:val="0"/>
          <w:numId w:val="2"/>
        </w:numPr>
      </w:pPr>
      <w:r>
        <w:rPr>
          <w:rFonts w:ascii="Calibri" w:cs="Calibri" w:eastAsia="Calibri" w:hAnsi="Calibri"/>
          <w:sz w:val="22"/>
          <w:szCs w:val="22"/>
        </w:rPr>
        <w:t xml:space="preserve">Tamper seal is intact</w:t>
      </w:r>
    </w:p>
    <w:p>
      <w:pPr>
        <w:pStyle w:val="ListParagraph"/>
        <w:numPr>
          <w:ilvl w:val="0"/>
          <w:numId w:val="2"/>
        </w:numPr>
      </w:pPr>
      <w:r>
        <w:rPr>
          <w:rFonts w:ascii="Calibri" w:cs="Calibri" w:eastAsia="Calibri" w:hAnsi="Calibri"/>
          <w:sz w:val="22"/>
          <w:szCs w:val="22"/>
        </w:rPr>
        <w:t xml:space="preserve">Pressure gauge is in operable range (green zone)</w:t>
      </w:r>
    </w:p>
    <w:p>
      <w:pPr>
        <w:pStyle w:val="ListParagraph"/>
        <w:numPr>
          <w:ilvl w:val="0"/>
          <w:numId w:val="2"/>
        </w:numPr>
      </w:pPr>
      <w:r>
        <w:rPr>
          <w:rFonts w:ascii="Calibri" w:cs="Calibri" w:eastAsia="Calibri" w:hAnsi="Calibri"/>
          <w:sz w:val="22"/>
          <w:szCs w:val="22"/>
        </w:rPr>
        <w:t xml:space="preserve">No visible physical damage, corrosion, or leakage</w:t>
      </w:r>
    </w:p>
    <w:p>
      <w:pPr>
        <w:pStyle w:val="ListParagraph"/>
        <w:numPr>
          <w:ilvl w:val="0"/>
          <w:numId w:val="2"/>
        </w:numPr>
      </w:pPr>
      <w:r>
        <w:rPr>
          <w:rFonts w:ascii="Calibri" w:cs="Calibri" w:eastAsia="Calibri" w:hAnsi="Calibri"/>
          <w:sz w:val="22"/>
          <w:szCs w:val="22"/>
        </w:rPr>
        <w:t xml:space="preserve">Fullness verified by hefting or weighing (CO2 and halogenated types)</w:t>
      </w:r>
    </w:p>
    <w:p>
      <w:pPr>
        <w:spacing w:after="120"/>
      </w:pPr>
      <w:r>
        <w:rPr>
          <w:rFonts w:ascii="Calibri" w:cs="Calibri" w:eastAsia="Calibri" w:hAnsi="Calibri"/>
          <w:sz w:val="22"/>
          <w:szCs w:val="22"/>
        </w:rPr>
        <w:t xml:space="preserve">Document inspections using the Monthly Inspection Log (Appendix A). Attach the inspection tag to each extinguisher.</w:t>
      </w:r>
    </w:p>
    <w:p>
      <w:pPr>
        <w:pStyle w:val="Heading2"/>
      </w:pPr>
      <w:r>
        <w:rPr>
          <w:rFonts w:ascii="Calibri" w:cs="Calibri" w:eastAsia="Calibri" w:hAnsi="Calibri"/>
          <w:b/>
          <w:bCs/>
          <w:color w:val="1B2A4A"/>
        </w:rPr>
        <w:t xml:space="preserve">6.2 Annual Maintenance</w:t>
      </w:r>
    </w:p>
    <w:p>
      <w:pPr>
        <w:spacing w:after="120"/>
      </w:pPr>
      <w:r>
        <w:rPr>
          <w:rFonts w:ascii="Calibri" w:cs="Calibri" w:eastAsia="Calibri" w:hAnsi="Calibri"/>
          <w:sz w:val="22"/>
          <w:szCs w:val="22"/>
        </w:rPr>
        <w:t xml:space="preserve">All fire extinguishers shall receive a thorough annual maintenance examination by a certified fire protection technician per NFPA 10, Section 7.3. This includes:</w:t>
      </w:r>
    </w:p>
    <w:p>
      <w:pPr>
        <w:pStyle w:val="ListParagraph"/>
        <w:numPr>
          <w:ilvl w:val="0"/>
          <w:numId w:val="2"/>
        </w:numPr>
      </w:pPr>
      <w:r>
        <w:rPr>
          <w:rFonts w:ascii="Calibri" w:cs="Calibri" w:eastAsia="Calibri" w:hAnsi="Calibri"/>
          <w:sz w:val="22"/>
          <w:szCs w:val="22"/>
        </w:rPr>
        <w:t xml:space="preserve">Complete external and internal examination</w:t>
      </w:r>
    </w:p>
    <w:p>
      <w:pPr>
        <w:pStyle w:val="ListParagraph"/>
        <w:numPr>
          <w:ilvl w:val="0"/>
          <w:numId w:val="2"/>
        </w:numPr>
      </w:pPr>
      <w:r>
        <w:rPr>
          <w:rFonts w:ascii="Calibri" w:cs="Calibri" w:eastAsia="Calibri" w:hAnsi="Calibri"/>
          <w:sz w:val="22"/>
          <w:szCs w:val="22"/>
        </w:rPr>
        <w:t xml:space="preserve">Verification of correct agent type and charge</w:t>
      </w:r>
    </w:p>
    <w:p>
      <w:pPr>
        <w:pStyle w:val="ListParagraph"/>
        <w:numPr>
          <w:ilvl w:val="0"/>
          <w:numId w:val="2"/>
        </w:numPr>
      </w:pPr>
      <w:r>
        <w:rPr>
          <w:rFonts w:ascii="Calibri" w:cs="Calibri" w:eastAsia="Calibri" w:hAnsi="Calibri"/>
          <w:sz w:val="22"/>
          <w:szCs w:val="22"/>
        </w:rPr>
        <w:t xml:space="preserve">Mechanical parts examination and lubrication</w:t>
      </w:r>
    </w:p>
    <w:p>
      <w:pPr>
        <w:pStyle w:val="ListParagraph"/>
        <w:numPr>
          <w:ilvl w:val="0"/>
          <w:numId w:val="2"/>
        </w:numPr>
      </w:pPr>
      <w:r>
        <w:rPr>
          <w:rFonts w:ascii="Calibri" w:cs="Calibri" w:eastAsia="Calibri" w:hAnsi="Calibri"/>
          <w:sz w:val="22"/>
          <w:szCs w:val="22"/>
        </w:rPr>
        <w:t xml:space="preserve">Replacement of worn or damaged components</w:t>
      </w:r>
    </w:p>
    <w:p>
      <w:pPr>
        <w:pStyle w:val="ListParagraph"/>
        <w:numPr>
          <w:ilvl w:val="0"/>
          <w:numId w:val="2"/>
        </w:numPr>
      </w:pPr>
      <w:r>
        <w:rPr>
          <w:rFonts w:ascii="Calibri" w:cs="Calibri" w:eastAsia="Calibri" w:hAnsi="Calibri"/>
          <w:sz w:val="22"/>
          <w:szCs w:val="22"/>
        </w:rPr>
        <w:t xml:space="preserve">Recharging if necessary</w:t>
      </w:r>
    </w:p>
    <w:p>
      <w:pPr>
        <w:pStyle w:val="ListParagraph"/>
        <w:numPr>
          <w:ilvl w:val="0"/>
          <w:numId w:val="2"/>
        </w:numPr>
      </w:pPr>
      <w:r>
        <w:rPr>
          <w:rFonts w:ascii="Calibri" w:cs="Calibri" w:eastAsia="Calibri" w:hAnsi="Calibri"/>
          <w:sz w:val="22"/>
          <w:szCs w:val="22"/>
        </w:rPr>
        <w:t xml:space="preserve">New annual maintenance tag applied</w:t>
      </w:r>
    </w:p>
    <w:p>
      <w:pPr>
        <w:pStyle w:val="Heading2"/>
      </w:pPr>
      <w:r>
        <w:rPr>
          <w:rFonts w:ascii="Calibri" w:cs="Calibri" w:eastAsia="Calibri" w:hAnsi="Calibri"/>
          <w:b/>
          <w:bCs/>
          <w:color w:val="1B2A4A"/>
        </w:rPr>
        <w:t xml:space="preserve">6.3 Extended Service Intervals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600"/>
        <w:gridCol w:w="2800"/>
        <w:gridCol w:w="2760"/>
      </w:tblGrid>
      <w:tr>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Service Type</w:t>
            </w:r>
          </w:p>
        </w:tc>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Frequency</w:t>
            </w:r>
          </w:p>
        </w:tc>
        <w:tc>
          <w:tcPr>
            <w:tcW w:type="dxa" w:w="2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Extinguisher Types</w:t>
            </w:r>
          </w:p>
        </w:tc>
        <w:tc>
          <w:tcPr>
            <w:tcW w:type="dxa" w:w="27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Requirements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6-Year Maintenance (Internal Exam)</w:t>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Every 6 years</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Stored-pressure types with dry chemical, dry powder, or halogenated agents</w:t>
            </w:r>
          </w:p>
        </w:tc>
        <w:tc>
          <w:tcPr>
            <w:tcW w:type="dxa" w:w="2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Empty, internally examine, recharge</w:t>
            </w:r>
          </w:p>
        </w:tc>
      </w:tr>
      <w:tr>
        <w:tc>
          <w:tcPr>
            <w:tcW w:type="dxa" w:w="22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12-Year Hydrostatic Test</w:t>
            </w:r>
          </w:p>
        </w:tc>
        <w:tc>
          <w:tcPr>
            <w:tcW w:type="dxa" w:w="16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Every 12 years</w:t>
            </w:r>
          </w:p>
        </w:tc>
        <w:tc>
          <w:tcPr>
            <w:tcW w:type="dxa" w:w="28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All types requiring hydrostatic testing per NFPA 10</w:t>
            </w:r>
          </w:p>
        </w:tc>
        <w:tc>
          <w:tcPr>
            <w:tcW w:type="dxa" w:w="2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DOT/TC hydrostatic test of cylinder, recharge</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5-Year Hydrostatic Test</w:t>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Every 5 years</w:t>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CO2 and stored-pressure water types</w:t>
            </w:r>
          </w:p>
        </w:tc>
        <w:tc>
          <w:tcPr>
            <w:tcW w:type="dxa" w:w="2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Hydrostatic test per DOT requirements</w:t>
            </w:r>
          </w:p>
        </w:tc>
      </w:tr>
    </w:tbl>
    <w:p>
      <w:pPr>
        <w:spacing w:after="120"/>
      </w:pPr>
      <w:r>
        <w:rPr>
          <w:rFonts w:ascii="Calibri" w:cs="Calibri" w:eastAsia="Calibri" w:hAnsi="Calibri"/>
          <w:sz w:val="22"/>
          <w:szCs w:val="22"/>
        </w:rPr>
        <w:t xml:space="preserve">Extinguishers that fail inspection, maintenance, or hydrostatic testing shall be removed from service, condemned, and replaced.</w:t>
      </w:r>
    </w:p>
    <w:p>
      <w:pPr>
        <w:pStyle w:val="Heading1"/>
      </w:pPr>
      <w:r>
        <w:rPr>
          <w:rFonts w:ascii="Calibri" w:cs="Calibri" w:eastAsia="Calibri" w:hAnsi="Calibri"/>
          <w:b/>
          <w:bCs/>
          <w:color w:val="1B2A4A"/>
        </w:rPr>
        <w:t xml:space="preserve">7. Employee Training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7.1 General Training Requirements</w:t>
      </w:r>
    </w:p>
    <w:p>
      <w:pPr>
        <w:spacing w:after="120"/>
      </w:pPr>
      <w:r>
        <w:rPr>
          <w:rFonts w:ascii="Calibri" w:cs="Calibri" w:eastAsia="Calibri" w:hAnsi="Calibri"/>
          <w:sz w:val="22"/>
          <w:szCs w:val="22"/>
        </w:rPr>
        <w:t xml:space="preserve">Per 29 CFR 1910.157(g), where the employer has provided portable fire extinguishers for employee use, the employer shall provide an educational program to familiarize employees with:</w:t>
      </w:r>
    </w:p>
    <w:p>
      <w:pPr>
        <w:pStyle w:val="ListParagraph"/>
        <w:numPr>
          <w:ilvl w:val="0"/>
          <w:numId w:val="3"/>
        </w:numPr>
      </w:pPr>
      <w:r>
        <w:rPr>
          <w:rFonts w:ascii="Calibri" w:cs="Calibri" w:eastAsia="Calibri" w:hAnsi="Calibri"/>
          <w:sz w:val="22"/>
          <w:szCs w:val="22"/>
        </w:rPr>
        <w:t xml:space="preserve">The general principles of fire extinguisher use</w:t>
      </w:r>
    </w:p>
    <w:p>
      <w:pPr>
        <w:pStyle w:val="ListParagraph"/>
        <w:numPr>
          <w:ilvl w:val="0"/>
          <w:numId w:val="3"/>
        </w:numPr>
      </w:pPr>
      <w:r>
        <w:rPr>
          <w:rFonts w:ascii="Calibri" w:cs="Calibri" w:eastAsia="Calibri" w:hAnsi="Calibri"/>
          <w:sz w:val="22"/>
          <w:szCs w:val="22"/>
        </w:rPr>
        <w:t xml:space="preserve">The hazards involved in incipient-stage fire fighting</w:t>
      </w:r>
    </w:p>
    <w:p>
      <w:pPr>
        <w:pStyle w:val="ListParagraph"/>
        <w:numPr>
          <w:ilvl w:val="0"/>
          <w:numId w:val="3"/>
        </w:numPr>
      </w:pPr>
      <w:r>
        <w:rPr>
          <w:rFonts w:ascii="Calibri" w:cs="Calibri" w:eastAsia="Calibri" w:hAnsi="Calibri"/>
          <w:sz w:val="22"/>
          <w:szCs w:val="22"/>
        </w:rPr>
        <w:t xml:space="preserve">Locations of fire extinguishers in their work area</w:t>
      </w:r>
    </w:p>
    <w:p>
      <w:pPr>
        <w:pStyle w:val="ListParagraph"/>
        <w:numPr>
          <w:ilvl w:val="0"/>
          <w:numId w:val="3"/>
        </w:numPr>
      </w:pPr>
      <w:r>
        <w:rPr>
          <w:rFonts w:ascii="Calibri" w:cs="Calibri" w:eastAsia="Calibri" w:hAnsi="Calibri"/>
          <w:sz w:val="22"/>
          <w:szCs w:val="22"/>
        </w:rPr>
        <w:t xml:space="preserve">How to activate the fire alarm and call emergency services</w:t>
      </w:r>
    </w:p>
    <w:p>
      <w:pPr>
        <w:pStyle w:val="ListParagraph"/>
        <w:numPr>
          <w:ilvl w:val="0"/>
          <w:numId w:val="3"/>
        </w:numPr>
      </w:pPr>
      <w:r>
        <w:rPr>
          <w:rFonts w:ascii="Calibri" w:cs="Calibri" w:eastAsia="Calibri" w:hAnsi="Calibri"/>
          <w:sz w:val="22"/>
          <w:szCs w:val="22"/>
        </w:rPr>
        <w:t xml:space="preserve">The PASS technique (Pull, Aim, Squeeze, Sweep)</w:t>
      </w:r>
    </w:p>
    <w:p>
      <w:pPr>
        <w:pStyle w:val="ListParagraph"/>
        <w:numPr>
          <w:ilvl w:val="0"/>
          <w:numId w:val="3"/>
        </w:numPr>
      </w:pPr>
      <w:r>
        <w:rPr>
          <w:rFonts w:ascii="Calibri" w:cs="Calibri" w:eastAsia="Calibri" w:hAnsi="Calibri"/>
          <w:sz w:val="22"/>
          <w:szCs w:val="22"/>
        </w:rPr>
        <w:t xml:space="preserve">When to fight a fire and when to evacuate</w:t>
      </w:r>
    </w:p>
    <w:p>
      <w:pPr>
        <w:pStyle w:val="Heading2"/>
      </w:pPr>
      <w:r>
        <w:rPr>
          <w:rFonts w:ascii="Calibri" w:cs="Calibri" w:eastAsia="Calibri" w:hAnsi="Calibri"/>
          <w:b/>
          <w:bCs/>
          <w:color w:val="1B2A4A"/>
        </w:rPr>
        <w:t xml:space="preserve">7.2 Training Frequency</w:t>
      </w:r>
    </w:p>
    <w:p>
      <w:pPr>
        <w:pStyle w:val="ListParagraph"/>
        <w:numPr>
          <w:ilvl w:val="0"/>
          <w:numId w:val="2"/>
        </w:numPr>
      </w:pPr>
      <w:r>
        <w:rPr>
          <w:rFonts w:ascii="Calibri" w:cs="Calibri" w:eastAsia="Calibri" w:hAnsi="Calibri"/>
          <w:sz w:val="22"/>
          <w:szCs w:val="22"/>
        </w:rPr>
        <w:t xml:space="preserve">Initial training: upon hire and upon assignment to a new work area</w:t>
      </w:r>
    </w:p>
    <w:p>
      <w:pPr>
        <w:pStyle w:val="ListParagraph"/>
        <w:numPr>
          <w:ilvl w:val="0"/>
          <w:numId w:val="2"/>
        </w:numPr>
      </w:pPr>
      <w:r>
        <w:rPr>
          <w:rFonts w:ascii="Calibri" w:cs="Calibri" w:eastAsia="Calibri" w:hAnsi="Calibri"/>
          <w:sz w:val="22"/>
          <w:szCs w:val="22"/>
        </w:rPr>
        <w:t xml:space="preserve">Annual refresher: provided at least annually per 29 CFR 1910.157(g)(2)</w:t>
      </w:r>
    </w:p>
    <w:p>
      <w:pPr>
        <w:pStyle w:val="ListParagraph"/>
        <w:numPr>
          <w:ilvl w:val="0"/>
          <w:numId w:val="2"/>
        </w:numPr>
      </w:pPr>
      <w:r>
        <w:rPr>
          <w:rFonts w:ascii="Calibri" w:cs="Calibri" w:eastAsia="Calibri" w:hAnsi="Calibri"/>
          <w:sz w:val="22"/>
          <w:szCs w:val="22"/>
        </w:rPr>
        <w:t xml:space="preserve">Hands-on training: recommended annually, required where employer policy dictates employees may use extinguishers</w:t>
      </w:r>
    </w:p>
    <w:p>
      <w:pPr>
        <w:pStyle w:val="Heading2"/>
      </w:pPr>
      <w:r>
        <w:rPr>
          <w:rFonts w:ascii="Calibri" w:cs="Calibri" w:eastAsia="Calibri" w:hAnsi="Calibri"/>
          <w:b/>
          <w:bCs/>
          <w:color w:val="1B2A4A"/>
        </w:rPr>
        <w:t xml:space="preserve">7.3 Hands-On Training Components</w:t>
      </w:r>
    </w:p>
    <w:p>
      <w:pPr>
        <w:pStyle w:val="ListParagraph"/>
        <w:numPr>
          <w:ilvl w:val="0"/>
          <w:numId w:val="2"/>
        </w:numPr>
      </w:pPr>
      <w:r>
        <w:rPr>
          <w:rFonts w:ascii="Calibri" w:cs="Calibri" w:eastAsia="Calibri" w:hAnsi="Calibri"/>
          <w:sz w:val="22"/>
          <w:szCs w:val="22"/>
        </w:rPr>
        <w:t xml:space="preserve">Live fire training with actual extinguisher discharge (or approved simulator)</w:t>
      </w:r>
    </w:p>
    <w:p>
      <w:pPr>
        <w:pStyle w:val="ListParagraph"/>
        <w:numPr>
          <w:ilvl w:val="0"/>
          <w:numId w:val="2"/>
        </w:numPr>
      </w:pPr>
      <w:r>
        <w:rPr>
          <w:rFonts w:ascii="Calibri" w:cs="Calibri" w:eastAsia="Calibri" w:hAnsi="Calibri"/>
          <w:sz w:val="22"/>
          <w:szCs w:val="22"/>
        </w:rPr>
        <w:t xml:space="preserve">Practice with the PASS technique</w:t>
      </w:r>
    </w:p>
    <w:p>
      <w:pPr>
        <w:pStyle w:val="ListParagraph"/>
        <w:numPr>
          <w:ilvl w:val="0"/>
          <w:numId w:val="2"/>
        </w:numPr>
      </w:pPr>
      <w:r>
        <w:rPr>
          <w:rFonts w:ascii="Calibri" w:cs="Calibri" w:eastAsia="Calibri" w:hAnsi="Calibri"/>
          <w:sz w:val="22"/>
          <w:szCs w:val="22"/>
        </w:rPr>
        <w:t xml:space="preserve">Recognition of different extinguisher types and their uses</w:t>
      </w:r>
    </w:p>
    <w:p>
      <w:pPr>
        <w:pStyle w:val="ListParagraph"/>
        <w:numPr>
          <w:ilvl w:val="0"/>
          <w:numId w:val="2"/>
        </w:numPr>
      </w:pPr>
      <w:r>
        <w:rPr>
          <w:rFonts w:ascii="Calibri" w:cs="Calibri" w:eastAsia="Calibri" w:hAnsi="Calibri"/>
          <w:sz w:val="22"/>
          <w:szCs w:val="22"/>
        </w:rPr>
        <w:t xml:space="preserve">Understanding of extinguisher limitations (range, duration, appropriate fire class)</w:t>
      </w:r>
    </w:p>
    <w:p>
      <w:pPr>
        <w:pStyle w:val="Heading2"/>
      </w:pPr>
      <w:r>
        <w:rPr>
          <w:rFonts w:ascii="Calibri" w:cs="Calibri" w:eastAsia="Calibri" w:hAnsi="Calibri"/>
          <w:b/>
          <w:bCs/>
          <w:color w:val="1B2A4A"/>
        </w:rPr>
        <w:t xml:space="preserve">7.4 Exemptions from Training</w:t>
      </w:r>
    </w:p>
    <w:p>
      <w:pPr>
        <w:spacing w:after="120"/>
      </w:pPr>
      <w:r>
        <w:rPr>
          <w:rFonts w:ascii="Calibri" w:cs="Calibri" w:eastAsia="Calibri" w:hAnsi="Calibri"/>
          <w:sz w:val="22"/>
          <w:szCs w:val="22"/>
        </w:rPr>
        <w:t xml:space="preserve">Per 29 CFR 1910.157(g)(4), where the employer has established an emergency action plan and a fire prevention plan that designate certain employees to use fire extinguishers, only those designated employees require training.</w:t>
      </w:r>
    </w:p>
    <w:p>
      <w:pPr>
        <w:spacing w:after="120"/>
      </w:pPr>
      <w:r>
        <w:rPr>
          <w:rFonts w:ascii="Calibri" w:cs="Calibri" w:eastAsia="Calibri" w:hAnsi="Calibri"/>
          <w:sz w:val="22"/>
          <w:szCs w:val="22"/>
        </w:rPr>
        <w:t xml:space="preserve">If the employer's emergency action plan requires total evacuation and does not permit any employees to use extinguishers, the employer is exempt from the training requirements. However, extinguishers must still be provided and maintained per the standard.</w:t>
      </w:r>
    </w:p>
    <w:p>
      <w:pPr>
        <w:pStyle w:val="Heading1"/>
      </w:pPr>
      <w:r>
        <w:rPr>
          <w:rFonts w:ascii="Calibri" w:cs="Calibri" w:eastAsia="Calibri" w:hAnsi="Calibri"/>
          <w:b/>
          <w:bCs/>
          <w:color w:val="1B2A4A"/>
        </w:rPr>
        <w:t xml:space="preserve">8. Fire Prevention Integration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program integrates with [COMPANY NAME]'s overall fire prevention efforts:</w:t>
      </w:r>
    </w:p>
    <w:p>
      <w:pPr>
        <w:pStyle w:val="ListParagraph"/>
        <w:numPr>
          <w:ilvl w:val="0"/>
          <w:numId w:val="2"/>
        </w:numPr>
      </w:pPr>
      <w:r>
        <w:rPr>
          <w:rFonts w:ascii="Calibri" w:cs="Calibri" w:eastAsia="Calibri" w:hAnsi="Calibri"/>
          <w:sz w:val="22"/>
          <w:szCs w:val="22"/>
        </w:rPr>
        <w:t xml:space="preserve">Hot work operations require a fire watch with a minimum 20-lb ABC extinguisher within 25 feet</w:t>
      </w:r>
    </w:p>
    <w:p>
      <w:pPr>
        <w:pStyle w:val="ListParagraph"/>
        <w:numPr>
          <w:ilvl w:val="0"/>
          <w:numId w:val="2"/>
        </w:numPr>
      </w:pPr>
      <w:r>
        <w:rPr>
          <w:rFonts w:ascii="Calibri" w:cs="Calibri" w:eastAsia="Calibri" w:hAnsi="Calibri"/>
          <w:sz w:val="22"/>
          <w:szCs w:val="22"/>
        </w:rPr>
        <w:t xml:space="preserve">Flammable storage areas shall have appropriate Class B extinguishers within 10 feet of the storage area</w:t>
      </w:r>
    </w:p>
    <w:p>
      <w:pPr>
        <w:pStyle w:val="ListParagraph"/>
        <w:numPr>
          <w:ilvl w:val="0"/>
          <w:numId w:val="2"/>
        </w:numPr>
      </w:pPr>
      <w:r>
        <w:rPr>
          <w:rFonts w:ascii="Calibri" w:cs="Calibri" w:eastAsia="Calibri" w:hAnsi="Calibri"/>
          <w:sz w:val="22"/>
          <w:szCs w:val="22"/>
        </w:rPr>
        <w:t xml:space="preserve">Emergency exit routes shall not be blocked by extinguisher placement</w:t>
      </w:r>
    </w:p>
    <w:p>
      <w:pPr>
        <w:pStyle w:val="ListParagraph"/>
        <w:numPr>
          <w:ilvl w:val="0"/>
          <w:numId w:val="2"/>
        </w:numPr>
      </w:pPr>
      <w:r>
        <w:rPr>
          <w:rFonts w:ascii="Calibri" w:cs="Calibri" w:eastAsia="Calibri" w:hAnsi="Calibri"/>
          <w:sz w:val="22"/>
          <w:szCs w:val="22"/>
        </w:rPr>
        <w:t xml:space="preserve">Fire extinguisher locations shall be incorporated into the site emergency action plan</w:t>
      </w:r>
    </w:p>
    <w:p>
      <w:pPr>
        <w:pStyle w:val="Heading1"/>
      </w:pPr>
      <w:r>
        <w:rPr>
          <w:rFonts w:ascii="Calibri" w:cs="Calibri" w:eastAsia="Calibri" w:hAnsi="Calibri"/>
          <w:b/>
          <w:bCs/>
          <w:color w:val="1B2A4A"/>
        </w:rPr>
        <w:t xml:space="preserve">9. Recordkeeping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The following records shall be maintained:</w:t>
      </w:r>
    </w:p>
    <w:p>
      <w:pPr>
        <w:pStyle w:val="ListParagraph"/>
        <w:numPr>
          <w:ilvl w:val="0"/>
          <w:numId w:val="2"/>
        </w:numPr>
      </w:pPr>
      <w:r>
        <w:rPr>
          <w:rFonts w:ascii="Calibri" w:cs="Calibri" w:eastAsia="Calibri" w:hAnsi="Calibri"/>
          <w:sz w:val="22"/>
          <w:szCs w:val="22"/>
        </w:rPr>
        <w:t xml:space="preserve">Monthly inspection logs (retain for minimum 1 year)</w:t>
      </w:r>
    </w:p>
    <w:p>
      <w:pPr>
        <w:pStyle w:val="ListParagraph"/>
        <w:numPr>
          <w:ilvl w:val="0"/>
          <w:numId w:val="2"/>
        </w:numPr>
      </w:pPr>
      <w:r>
        <w:rPr>
          <w:rFonts w:ascii="Calibri" w:cs="Calibri" w:eastAsia="Calibri" w:hAnsi="Calibri"/>
          <w:sz w:val="22"/>
          <w:szCs w:val="22"/>
        </w:rPr>
        <w:t xml:space="preserve">Annual maintenance records (retain for life of extinguisher)</w:t>
      </w:r>
    </w:p>
    <w:p>
      <w:pPr>
        <w:pStyle w:val="ListParagraph"/>
        <w:numPr>
          <w:ilvl w:val="0"/>
          <w:numId w:val="2"/>
        </w:numPr>
      </w:pPr>
      <w:r>
        <w:rPr>
          <w:rFonts w:ascii="Calibri" w:cs="Calibri" w:eastAsia="Calibri" w:hAnsi="Calibri"/>
          <w:sz w:val="22"/>
          <w:szCs w:val="22"/>
        </w:rPr>
        <w:t xml:space="preserve">6-year and 12-year service records (retain for life of extinguisher)</w:t>
      </w:r>
    </w:p>
    <w:p>
      <w:pPr>
        <w:pStyle w:val="ListParagraph"/>
        <w:numPr>
          <w:ilvl w:val="0"/>
          <w:numId w:val="2"/>
        </w:numPr>
      </w:pPr>
      <w:r>
        <w:rPr>
          <w:rFonts w:ascii="Calibri" w:cs="Calibri" w:eastAsia="Calibri" w:hAnsi="Calibri"/>
          <w:sz w:val="22"/>
          <w:szCs w:val="22"/>
        </w:rPr>
        <w:t xml:space="preserve">Employee training records (retain for duration of employment plus 3 years)</w:t>
      </w:r>
    </w:p>
    <w:p>
      <w:pPr>
        <w:pStyle w:val="ListParagraph"/>
        <w:numPr>
          <w:ilvl w:val="0"/>
          <w:numId w:val="2"/>
        </w:numPr>
      </w:pPr>
      <w:r>
        <w:rPr>
          <w:rFonts w:ascii="Calibri" w:cs="Calibri" w:eastAsia="Calibri" w:hAnsi="Calibri"/>
          <w:sz w:val="22"/>
          <w:szCs w:val="22"/>
        </w:rPr>
        <w:t xml:space="preserve">Extinguisher inventory list (type, location, serial number, manufacture date)</w:t>
      </w:r>
    </w:p>
    <w:p>
      <w:pPr>
        <w:pStyle w:val="Heading1"/>
      </w:pPr>
      <w:r>
        <w:rPr>
          <w:rFonts w:ascii="Calibri" w:cs="Calibri" w:eastAsia="Calibri" w:hAnsi="Calibri"/>
          <w:b/>
          <w:bCs/>
          <w:color w:val="1B2A4A"/>
        </w:rPr>
        <w:t xml:space="preserve">10. Program Review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program shall be reviewed at least annually and updated as needed based on:</w:t>
      </w:r>
    </w:p>
    <w:p>
      <w:pPr>
        <w:pStyle w:val="ListParagraph"/>
        <w:numPr>
          <w:ilvl w:val="0"/>
          <w:numId w:val="2"/>
        </w:numPr>
      </w:pPr>
      <w:r>
        <w:rPr>
          <w:rFonts w:ascii="Calibri" w:cs="Calibri" w:eastAsia="Calibri" w:hAnsi="Calibri"/>
          <w:sz w:val="22"/>
          <w:szCs w:val="22"/>
        </w:rPr>
        <w:t xml:space="preserve">Changes to facilities, processes, or hazard types</w:t>
      </w:r>
    </w:p>
    <w:p>
      <w:pPr>
        <w:pStyle w:val="ListParagraph"/>
        <w:numPr>
          <w:ilvl w:val="0"/>
          <w:numId w:val="2"/>
        </w:numPr>
      </w:pPr>
      <w:r>
        <w:rPr>
          <w:rFonts w:ascii="Calibri" w:cs="Calibri" w:eastAsia="Calibri" w:hAnsi="Calibri"/>
          <w:sz w:val="22"/>
          <w:szCs w:val="22"/>
        </w:rPr>
        <w:t xml:space="preserve">Results of fire incidents or near-misses</w:t>
      </w:r>
    </w:p>
    <w:p>
      <w:pPr>
        <w:pStyle w:val="ListParagraph"/>
        <w:numPr>
          <w:ilvl w:val="0"/>
          <w:numId w:val="2"/>
        </w:numPr>
      </w:pPr>
      <w:r>
        <w:rPr>
          <w:rFonts w:ascii="Calibri" w:cs="Calibri" w:eastAsia="Calibri" w:hAnsi="Calibri"/>
          <w:sz w:val="22"/>
          <w:szCs w:val="22"/>
        </w:rPr>
        <w:t xml:space="preserve">Regulatory changes to OSHA or NFPA standards</w:t>
      </w:r>
    </w:p>
    <w:p>
      <w:pPr>
        <w:pStyle w:val="ListParagraph"/>
        <w:numPr>
          <w:ilvl w:val="0"/>
          <w:numId w:val="2"/>
        </w:numPr>
      </w:pPr>
      <w:r>
        <w:rPr>
          <w:rFonts w:ascii="Calibri" w:cs="Calibri" w:eastAsia="Calibri" w:hAnsi="Calibri"/>
          <w:sz w:val="22"/>
          <w:szCs w:val="22"/>
        </w:rPr>
        <w:t xml:space="preserve">Findings from insurance inspections or fire marshal visits</w:t>
      </w:r>
    </w:p>
    <w:p>
      <w:r>
        <w:br w:type="page"/>
      </w:r>
    </w:p>
    <w:p>
      <w:pPr>
        <w:pStyle w:val="Heading1"/>
      </w:pPr>
      <w:r>
        <w:rPr>
          <w:rFonts w:ascii="Calibri" w:cs="Calibri" w:eastAsia="Calibri" w:hAnsi="Calibri"/>
          <w:b/>
          <w:bCs/>
          <w:color w:val="1B2A4A"/>
        </w:rPr>
        <w:t xml:space="preserve">Appendix A: Monthly Fire Extinguisher Inspection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60" w:before="100"/>
      </w:pPr>
      <w:r>
        <w:rPr>
          <w:rFonts w:ascii="Calibri" w:cs="Calibri" w:eastAsia="Calibri" w:hAnsi="Calibri"/>
          <w:b/>
          <w:bCs/>
          <w:sz w:val="22"/>
          <w:szCs w:val="22"/>
        </w:rPr>
        <w:t xml:space="preserve">Building / Job Site: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Inspector Name: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Month / Year: </w:t>
      </w:r>
      <w:r>
        <w:rPr>
          <w:rFonts w:ascii="Calibri" w:cs="Calibri" w:eastAsia="Calibri" w:hAnsi="Calibri"/>
          <w:sz w:val="22"/>
          <w:szCs w:val="22"/>
        </w:rPr>
        <w:t xml:space="preserve">_______________________________</w:t>
      </w:r>
    </w:p>
    <w:p>
      <w:pPr>
        <w:spacing w:before="200"/>
      </w:pPr>
    </w:p>
    <w:tbl>
      <w:tblPr>
        <w:tblW w:type="dxa" w:w="7900"/>
        <w:tblBorders>
          <w:top w:val="single" w:color="auto" w:sz="4"/>
          <w:left w:val="single" w:color="auto" w:sz="4"/>
          <w:bottom w:val="single" w:color="auto" w:sz="4"/>
          <w:right w:val="single" w:color="auto" w:sz="4"/>
          <w:insideH w:val="single" w:color="auto" w:sz="4"/>
          <w:insideV w:val="single" w:color="auto" w:sz="4"/>
        </w:tblBorders>
      </w:tblPr>
      <w:tblGrid>
        <w:gridCol w:w="700"/>
        <w:gridCol w:w="1200"/>
        <w:gridCol w:w="900"/>
        <w:gridCol w:w="800"/>
        <w:gridCol w:w="800"/>
        <w:gridCol w:w="800"/>
        <w:gridCol w:w="800"/>
        <w:gridCol w:w="1200"/>
        <w:gridCol w:w="700"/>
      </w:tblGrid>
      <w:tr>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Ext. #</w:t>
            </w:r>
          </w:p>
        </w:tc>
        <w:tc>
          <w:tcPr>
            <w:tcW w:type="dxa" w:w="1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Location</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Type/Size</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Date</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Accessible?</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Seal Intact?</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Gauge OK?</w:t>
            </w:r>
          </w:p>
        </w:tc>
        <w:tc>
          <w:tcPr>
            <w:tcW w:type="dxa" w:w="1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Condition</w:t>
            </w:r>
          </w:p>
        </w:tc>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Initials</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bl>
    <w:p>
      <w:pPr>
        <w:spacing w:before="200"/>
      </w:pPr>
    </w:p>
    <w:p>
      <w:pPr>
        <w:spacing w:after="120"/>
      </w:pPr>
      <w:r>
        <w:rPr>
          <w:rFonts w:ascii="Calibri" w:cs="Calibri" w:eastAsia="Calibri" w:hAnsi="Calibri"/>
          <w:b/>
          <w:bCs/>
          <w:sz w:val="22"/>
          <w:szCs w:val="22"/>
        </w:rPr>
        <w:t xml:space="preserve">Action Required:</w:t>
      </w:r>
    </w:p>
    <w:p>
      <w:pPr>
        <w:spacing w:after="120"/>
      </w:pPr>
      <w:r>
        <w:rPr>
          <w:rFonts w:ascii="Calibri" w:cs="Calibri" w:eastAsia="Calibri" w:hAnsi="Calibri"/>
          <w:sz w:val="22"/>
          <w:szCs w:val="22"/>
        </w:rPr>
        <w:t xml:space="preserve">__________________________________________________________________________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__________________________________________________________________________</w:t>
      </w:r>
    </w:p>
    <w:p>
      <w:pPr>
        <w:spacing w:after="60" w:before="200"/>
      </w:pPr>
      <w:r>
        <w:rPr>
          <w:rFonts w:ascii="Calibri" w:cs="Calibri" w:eastAsia="Calibri" w:hAnsi="Calibri"/>
          <w:b/>
          <w:bCs/>
          <w:sz w:val="22"/>
          <w:szCs w:val="22"/>
        </w:rPr>
        <w:t xml:space="preserve">Inspector Signature: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p>
      <w:r>
        <w:br w:type="page"/>
      </w:r>
    </w:p>
    <w:p>
      <w:pPr>
        <w:pStyle w:val="Heading1"/>
      </w:pPr>
      <w:r>
        <w:rPr>
          <w:rFonts w:ascii="Calibri" w:cs="Calibri" w:eastAsia="Calibri" w:hAnsi="Calibri"/>
          <w:b/>
          <w:bCs/>
          <w:color w:val="1B2A4A"/>
        </w:rPr>
        <w:t xml:space="preserve">Appendix B: Annual Maintenance Record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60" w:before="100"/>
      </w:pPr>
      <w:r>
        <w:rPr>
          <w:rFonts w:ascii="Calibri" w:cs="Calibri" w:eastAsia="Calibri" w:hAnsi="Calibri"/>
          <w:b/>
          <w:bCs/>
          <w:sz w:val="22"/>
          <w:szCs w:val="22"/>
        </w:rPr>
        <w:t xml:space="preserve">Company: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Service Provider: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Technician Name / Certification #: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Date of Service: </w:t>
      </w:r>
      <w:r>
        <w:rPr>
          <w:rFonts w:ascii="Calibri" w:cs="Calibri" w:eastAsia="Calibri" w:hAnsi="Calibri"/>
          <w:sz w:val="22"/>
          <w:szCs w:val="22"/>
        </w:rPr>
        <w:t xml:space="preserve">_______________________________</w:t>
      </w:r>
    </w:p>
    <w:p>
      <w:pPr>
        <w:spacing w:before="200"/>
      </w:pP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700"/>
        <w:gridCol w:w="1000"/>
        <w:gridCol w:w="900"/>
        <w:gridCol w:w="800"/>
        <w:gridCol w:w="1000"/>
        <w:gridCol w:w="1200"/>
        <w:gridCol w:w="800"/>
        <w:gridCol w:w="1200"/>
        <w:gridCol w:w="760"/>
      </w:tblGrid>
      <w:tr>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Ext. #</w:t>
            </w:r>
          </w:p>
        </w:tc>
        <w:tc>
          <w:tcPr>
            <w:tcW w:type="dxa" w:w="1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Serial #</w:t>
            </w:r>
          </w:p>
        </w:tc>
        <w:tc>
          <w:tcPr>
            <w:tcW w:type="dxa" w:w="9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Type/Size</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Mfg Date</w:t>
            </w:r>
          </w:p>
        </w:tc>
        <w:tc>
          <w:tcPr>
            <w:tcW w:type="dxa" w:w="1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Agent Condition</w:t>
            </w:r>
          </w:p>
        </w:tc>
        <w:tc>
          <w:tcPr>
            <w:tcW w:type="dxa" w:w="1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Parts Replaced</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Recharged?</w:t>
            </w:r>
          </w:p>
        </w:tc>
        <w:tc>
          <w:tcPr>
            <w:tcW w:type="dxa" w:w="1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Next Service Due</w:t>
            </w:r>
          </w:p>
        </w:tc>
        <w:tc>
          <w:tcPr>
            <w:tcW w:type="dxa" w:w="7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Tech Initials</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9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0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2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6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bl>
    <w:p>
      <w:pPr>
        <w:spacing w:before="200"/>
      </w:pPr>
    </w:p>
    <w:p>
      <w:pPr>
        <w:spacing w:after="120"/>
      </w:pPr>
      <w:r>
        <w:rPr>
          <w:rFonts w:ascii="Calibri" w:cs="Calibri" w:eastAsia="Calibri" w:hAnsi="Calibri"/>
          <w:b/>
          <w:bCs/>
          <w:sz w:val="22"/>
          <w:szCs w:val="22"/>
        </w:rPr>
        <w:t xml:space="preserve">Certification:</w:t>
      </w:r>
    </w:p>
    <w:p>
      <w:pPr>
        <w:spacing w:after="120"/>
      </w:pPr>
      <w:r>
        <w:rPr>
          <w:rFonts w:ascii="Calibri" w:cs="Calibri" w:eastAsia="Calibri" w:hAnsi="Calibri"/>
          <w:sz w:val="22"/>
          <w:szCs w:val="22"/>
        </w:rPr>
        <w:t xml:space="preserve">I certify that the above fire extinguishers have been inspected, maintained, and serviced in accordance with NFPA 10 requirements.</w:t>
      </w:r>
    </w:p>
    <w:p>
      <w:pPr>
        <w:spacing w:after="60" w:before="200"/>
      </w:pPr>
      <w:r>
        <w:rPr>
          <w:rFonts w:ascii="Calibri" w:cs="Calibri" w:eastAsia="Calibri" w:hAnsi="Calibri"/>
          <w:b/>
          <w:bCs/>
          <w:sz w:val="22"/>
          <w:szCs w:val="22"/>
        </w:rPr>
        <w:t xml:space="preserve">Service Technician Signature: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Certification Number: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Received By (Company Representative):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sectPr>
      <w:headerReference w:type="default" r:id="rId7"/>
      <w:footerReference w:type="default" r:id="rId8"/>
      <w:pgSz w:w="12240" w:h="15840" w:orient="portrait"/>
      <w:pgMar w:top="1440" w:right="1440" w:bottom="1440" w:left="144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0"/>
      <w:jc w:val="center"/>
    </w:pPr>
    <w:r>
      <w:rPr>
        <w:rFonts w:ascii="Calibri" w:cs="Calibri" w:eastAsia="Calibri" w:hAnsi="Calibri"/>
        <w:color w:val="999999"/>
        <w:sz w:val="16"/>
        <w:szCs w:val="16"/>
      </w:rPr>
      <w:t xml:space="preserve">Fire Extinguisher Program  |  </w:t>
    </w:r>
    <w:r>
      <w:rPr>
        <w:rFonts w:ascii="Calibri" w:cs="Calibri" w:eastAsia="Calibri" w:hAnsi="Calibri"/>
        <w:color w:val="999999"/>
        <w:sz w:val="16"/>
        <w:szCs w:val="16"/>
      </w:rPr>
      <w:t xml:space="preserve">[COMPANY NAME]</w:t>
    </w:r>
    <w:r>
      <w:rPr>
        <w:rFonts w:ascii="Calibri" w:cs="Calibri" w:eastAsia="Calibri" w:hAnsi="Calibri"/>
        <w:color w:val="999999"/>
        <w:sz w:val="16"/>
        <w:szCs w:val="16"/>
      </w:rPr>
      <w:t xml:space="preserve">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1B2A4A" w:sz="0"/>
            <w:left w:val="none" w:color="1B2A4A" w:sz="0"/>
            <w:bottom w:val="single" w:color="E8A838" w:sz="6"/>
            <w:right w:val="none" w:color="1B2A4A"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44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40"/>
      <w:outlineLvl w:val="2"/>
    </w:pPr>
    <w:rPr>
      <w:rFonts w:ascii="Calibri" w:cs="Calibri" w:eastAsia="Calibri" w:hAnsi="Calibri"/>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2026-03-16T00:34:07.737Z</dcterms:created>
  <dcterms:modified xsi:type="dcterms:W3CDTF">2026-03-16T00:34:07.737Z</dcterms:modified>
</cp:coreProperties>
</file>

<file path=docProps/custom.xml><?xml version="1.0" encoding="utf-8"?>
<Properties xmlns="http://schemas.openxmlformats.org/officeDocument/2006/custom-properties" xmlns:vt="http://schemas.openxmlformats.org/officeDocument/2006/docPropsVTypes"/>
</file>